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 xml:space="preserve"> </w:t>
      </w:r>
      <w:r>
        <w:rPr>
          <w:rFonts w:hint="eastAsia" w:ascii="华文中宋" w:hAnsi="华文中宋" w:eastAsia="华文中宋" w:cs="华文中宋"/>
          <w:b/>
          <w:sz w:val="32"/>
          <w:szCs w:val="32"/>
          <w:highlight w:val="none"/>
          <w:lang w:eastAsia="zh-CN"/>
        </w:rPr>
        <w:t>经济管理与法学院2024年</w:t>
      </w:r>
      <w:r>
        <w:rPr>
          <w:rFonts w:hint="eastAsia" w:ascii="华文中宋" w:hAnsi="华文中宋" w:eastAsia="华文中宋" w:cs="华文中宋"/>
          <w:b/>
          <w:sz w:val="32"/>
          <w:szCs w:val="32"/>
          <w:highlight w:val="none"/>
        </w:rPr>
        <w:t>硕士研究生</w:t>
      </w:r>
    </w:p>
    <w:p>
      <w:pPr>
        <w:jc w:val="center"/>
        <w:rPr>
          <w:rFonts w:ascii="华文中宋" w:hAnsi="华文中宋" w:eastAsia="华文中宋" w:cs="华文中宋"/>
          <w:b/>
          <w:sz w:val="32"/>
          <w:szCs w:val="32"/>
          <w:highlight w:val="none"/>
        </w:rPr>
      </w:pPr>
      <w:r>
        <w:rPr>
          <w:rFonts w:hint="eastAsia" w:ascii="华文中宋" w:hAnsi="华文中宋" w:eastAsia="华文中宋" w:cs="华文中宋"/>
          <w:b/>
          <w:sz w:val="32"/>
          <w:szCs w:val="32"/>
          <w:highlight w:val="none"/>
        </w:rPr>
        <w:t>复试录取实施细则</w:t>
      </w: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rPr>
      </w:pPr>
      <w:r>
        <w:rPr>
          <w:rFonts w:hint="eastAsia" w:ascii="仿宋" w:hAnsi="仿宋" w:eastAsia="仿宋" w:cs="仿宋"/>
          <w:sz w:val="28"/>
          <w:szCs w:val="28"/>
          <w:highlight w:val="none"/>
        </w:rPr>
        <w:t>根据《江西科技师范大学</w:t>
      </w:r>
      <w:r>
        <w:rPr>
          <w:rFonts w:hint="eastAsia" w:ascii="仿宋" w:hAnsi="仿宋" w:eastAsia="仿宋" w:cs="仿宋"/>
          <w:sz w:val="28"/>
          <w:szCs w:val="28"/>
          <w:highlight w:val="none"/>
          <w:lang w:eastAsia="zh-CN"/>
        </w:rPr>
        <w:t>2024年</w:t>
      </w:r>
      <w:r>
        <w:rPr>
          <w:rFonts w:hint="eastAsia" w:ascii="仿宋" w:hAnsi="仿宋" w:eastAsia="仿宋" w:cs="仿宋"/>
          <w:sz w:val="28"/>
          <w:szCs w:val="28"/>
          <w:highlight w:val="none"/>
        </w:rPr>
        <w:t>硕士研究生复</w:t>
      </w:r>
      <w:r>
        <w:rPr>
          <w:rFonts w:hint="eastAsia" w:ascii="仿宋" w:hAnsi="仿宋" w:eastAsia="仿宋" w:cs="仿宋"/>
          <w:sz w:val="28"/>
          <w:szCs w:val="28"/>
        </w:rPr>
        <w:t>试录取办法》文件精神和要求，特制定本单位复试录取实施细则。</w:t>
      </w:r>
    </w:p>
    <w:p>
      <w:pPr>
        <w:ind w:firstLine="562" w:firstLineChars="200"/>
        <w:rPr>
          <w:rFonts w:ascii="黑体" w:hAnsi="黑体" w:eastAsia="黑体" w:cs="黑体"/>
          <w:b/>
          <w:sz w:val="28"/>
          <w:szCs w:val="28"/>
          <w:highlight w:val="none"/>
        </w:rPr>
      </w:pPr>
      <w:r>
        <w:rPr>
          <w:rFonts w:hint="eastAsia" w:ascii="黑体" w:hAnsi="黑体" w:eastAsia="黑体" w:cs="黑体"/>
          <w:b/>
          <w:sz w:val="28"/>
          <w:szCs w:val="28"/>
        </w:rPr>
        <w:t>一、复试</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根据相关文件精神，</w:t>
      </w:r>
      <w:r>
        <w:rPr>
          <w:rFonts w:hint="eastAsia" w:ascii="仿宋" w:hAnsi="仿宋" w:eastAsia="仿宋" w:cs="仿宋"/>
          <w:sz w:val="28"/>
          <w:szCs w:val="28"/>
          <w:highlight w:val="none"/>
          <w:lang w:eastAsia="zh-CN"/>
        </w:rPr>
        <w:t>经济管理与法学院2024年</w:t>
      </w:r>
      <w:r>
        <w:rPr>
          <w:rFonts w:hint="eastAsia" w:ascii="仿宋" w:hAnsi="仿宋" w:eastAsia="仿宋" w:cs="仿宋"/>
          <w:sz w:val="28"/>
          <w:szCs w:val="28"/>
          <w:highlight w:val="none"/>
        </w:rPr>
        <w:t>硕士研究生招生复试原则上采用线下复试。</w:t>
      </w:r>
    </w:p>
    <w:p>
      <w:pPr>
        <w:keepNext w:val="0"/>
        <w:keepLines w:val="0"/>
        <w:pageBreakBefore w:val="0"/>
        <w:widowControl w:val="0"/>
        <w:tabs>
          <w:tab w:val="left" w:pos="312"/>
        </w:tabs>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rPr>
        <w:t>参加</w:t>
      </w:r>
      <w:r>
        <w:rPr>
          <w:rFonts w:hint="eastAsia" w:ascii="仿宋" w:hAnsi="仿宋" w:eastAsia="仿宋" w:cs="仿宋"/>
          <w:sz w:val="28"/>
          <w:szCs w:val="28"/>
          <w:highlight w:val="none"/>
        </w:rPr>
        <w:t>复试考生需满足各学科专业的复试分数基本要求，通过复试资格审查。实行差额复试，</w:t>
      </w:r>
      <w:r>
        <w:rPr>
          <w:rFonts w:hint="eastAsia" w:ascii="仿宋" w:hAnsi="仿宋" w:eastAsia="仿宋" w:cs="仿宋"/>
          <w:sz w:val="28"/>
          <w:szCs w:val="28"/>
          <w:highlight w:val="none"/>
          <w:lang w:val="en-US" w:eastAsia="zh-CN"/>
        </w:rPr>
        <w:t>具体复试范围如下：一志愿复试差额比例为150%，调剂考生差额比例为200%。如遇最后一名初试总分同分的，同分考生均进入复试。</w:t>
      </w:r>
    </w:p>
    <w:p>
      <w:pPr>
        <w:ind w:firstLine="562" w:firstLineChars="200"/>
        <w:rPr>
          <w:rFonts w:hint="default" w:ascii="仿宋" w:hAnsi="仿宋" w:eastAsia="仿宋" w:cs="仿宋"/>
          <w:sz w:val="28"/>
          <w:szCs w:val="28"/>
          <w:highlight w:val="none"/>
          <w:lang w:val="en-US"/>
        </w:rPr>
      </w:pPr>
      <w:r>
        <w:rPr>
          <w:rFonts w:hint="eastAsia" w:ascii="仿宋" w:hAnsi="仿宋" w:eastAsia="仿宋" w:cs="仿宋"/>
          <w:b/>
          <w:bCs/>
          <w:sz w:val="28"/>
          <w:szCs w:val="28"/>
          <w:highlight w:val="none"/>
        </w:rPr>
        <w:t>（一）复试</w:t>
      </w:r>
      <w:r>
        <w:rPr>
          <w:rFonts w:hint="eastAsia" w:ascii="仿宋" w:hAnsi="仿宋" w:eastAsia="仿宋" w:cs="仿宋"/>
          <w:b/>
          <w:bCs/>
          <w:sz w:val="28"/>
          <w:szCs w:val="28"/>
          <w:highlight w:val="none"/>
          <w:lang w:val="en-US" w:eastAsia="zh-CN"/>
        </w:rPr>
        <w:t>时间及对象</w:t>
      </w:r>
    </w:p>
    <w:p>
      <w:pPr>
        <w:tabs>
          <w:tab w:val="left" w:pos="312"/>
        </w:tabs>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.各专业（研究方向）复试时间安排</w:t>
      </w:r>
    </w:p>
    <w:p>
      <w:pPr>
        <w:tabs>
          <w:tab w:val="left" w:pos="312"/>
        </w:tabs>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4月8日前完成一志愿考生复试录取工作，4月28日前完成调剂考生复试录取。</w:t>
      </w:r>
    </w:p>
    <w:p>
      <w:pPr>
        <w:tabs>
          <w:tab w:val="left" w:pos="312"/>
        </w:tabs>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.复试对象的条件和要求</w:t>
      </w:r>
    </w:p>
    <w:p>
      <w:pPr>
        <w:tabs>
          <w:tab w:val="left" w:pos="312"/>
        </w:tabs>
        <w:ind w:firstLine="562" w:firstLineChars="200"/>
        <w:rPr>
          <w:rFonts w:ascii="仿宋" w:hAnsi="仿宋" w:eastAsia="仿宋" w:cs="仿宋"/>
          <w:sz w:val="28"/>
          <w:szCs w:val="28"/>
        </w:rPr>
      </w:pPr>
      <w:r>
        <w:rPr>
          <w:rFonts w:hint="eastAsia" w:ascii="仿宋" w:hAnsi="仿宋" w:eastAsia="仿宋" w:cs="仿宋"/>
          <w:b/>
          <w:bCs/>
          <w:sz w:val="28"/>
          <w:szCs w:val="28"/>
          <w:highlight w:val="none"/>
        </w:rPr>
        <w:t>一志愿考生：</w:t>
      </w:r>
      <w:r>
        <w:rPr>
          <w:rFonts w:hint="eastAsia" w:ascii="仿宋" w:hAnsi="仿宋" w:eastAsia="仿宋" w:cs="仿宋"/>
          <w:sz w:val="28"/>
          <w:szCs w:val="28"/>
          <w:highlight w:val="none"/>
        </w:rPr>
        <w:t>初试成绩符合一区《</w:t>
      </w:r>
      <w:r>
        <w:rPr>
          <w:rFonts w:hint="eastAsia" w:ascii="仿宋" w:hAnsi="仿宋" w:eastAsia="仿宋" w:cs="仿宋"/>
          <w:sz w:val="28"/>
          <w:szCs w:val="28"/>
          <w:highlight w:val="none"/>
          <w:lang w:eastAsia="zh-CN"/>
        </w:rPr>
        <w:t>2024年</w:t>
      </w:r>
      <w:r>
        <w:rPr>
          <w:rFonts w:hint="eastAsia" w:ascii="仿宋" w:hAnsi="仿宋" w:eastAsia="仿宋" w:cs="仿宋"/>
          <w:sz w:val="28"/>
          <w:szCs w:val="28"/>
          <w:highlight w:val="none"/>
        </w:rPr>
        <w:t>全国硕士</w:t>
      </w:r>
      <w:r>
        <w:rPr>
          <w:rFonts w:hint="eastAsia" w:ascii="仿宋" w:hAnsi="仿宋" w:eastAsia="仿宋" w:cs="仿宋"/>
          <w:sz w:val="28"/>
          <w:szCs w:val="28"/>
        </w:rPr>
        <w:t>研究生统一入学考试考生进入复试初试成绩基本要求》所有一志愿报考我院的考生。</w:t>
      </w:r>
    </w:p>
    <w:p>
      <w:pPr>
        <w:tabs>
          <w:tab w:val="left" w:pos="312"/>
        </w:tabs>
        <w:ind w:firstLine="562" w:firstLineChars="200"/>
        <w:rPr>
          <w:rFonts w:ascii="仿宋" w:hAnsi="仿宋" w:eastAsia="仿宋" w:cs="仿宋"/>
          <w:b/>
          <w:bCs/>
          <w:sz w:val="28"/>
          <w:szCs w:val="28"/>
        </w:rPr>
      </w:pPr>
      <w:r>
        <w:rPr>
          <w:rFonts w:hint="eastAsia" w:ascii="仿宋" w:hAnsi="仿宋" w:eastAsia="仿宋" w:cs="仿宋"/>
          <w:b/>
          <w:bCs/>
          <w:sz w:val="28"/>
          <w:szCs w:val="28"/>
        </w:rPr>
        <w:t>调剂考生：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调剂工作按教育部《2024年全国硕士研究生招生工作管理规定》中关于调剂的要求执行。一志愿生源充足的专业原则上不再接收调剂。调剂考生基本要求是：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符合调入专业的报考条件；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初试成绩（含加分，下同）符合第一志愿报考专业在一区的全国初试成绩基本要求；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调入专业与第一志愿报考专业相同相近，或初试科目与调入专业初试科目相同相近，其中初试全国统一命题科目应与调入专业全国统一命题科目原则上相同；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第一志愿报考工商管理、公共管理、旅游管理、工程管理、会计、图书情报、审计专业学位硕士的考生，在满足调入专业报考条件、且初试成绩同时符合调出专业和调入专业在一区的全国初试成绩基本要求的基础上，可申请相互调剂，但不得调入其他专业；其他专业考生也不得调入以上专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第一志愿报考法律（非法学）专业学位硕士的考生不得调入其他专业，其他专业的考生也不得调入该专业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报考“少数民族高层次骨干人才计划”的考生不得调剂到该计划以外录取；未报考的不得调剂入该计划录取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报考“退役大学生士兵”专项计划的考生，申请调剂到普通计划录取，其初试成绩须达到一区相关专业所在学科门类（专业学位类别）的全国初试成绩基本要求。符合条件的，可按规定享受退役大学生士兵初试加分政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报考普通计划的考生，符合“退役大学生士兵”专项计划报考条件的，可申请调剂到该专项计划录取，其初试成绩须符合我校确定的接受“退役大学生士兵”专项计划考生调剂的初试成绩要求。调入“退役大学生士兵”专项计划招录的考生，不再享受退役大学生士兵初试加分政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参加单独考试（含强军计划、援藏计划）的考生不得调剂</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所有调剂考生（既包括外单位调剂考生，也包括本单位内部调剂考生，以及报考“退役大学生士兵”专项计划与普通计划之间调剂的考生）均须通过教育部指定的“全国硕士生招生调剂服务系统”进行。</w:t>
      </w:r>
    </w:p>
    <w:p>
      <w:pPr>
        <w:ind w:firstLine="562" w:firstLineChars="200"/>
        <w:rPr>
          <w:rFonts w:ascii="仿宋" w:hAnsi="仿宋" w:eastAsia="仿宋" w:cs="仿宋"/>
          <w:sz w:val="28"/>
          <w:szCs w:val="28"/>
        </w:rPr>
      </w:pPr>
      <w:r>
        <w:rPr>
          <w:rFonts w:hint="eastAsia" w:ascii="仿宋" w:hAnsi="仿宋" w:eastAsia="仿宋" w:cs="仿宋"/>
          <w:b/>
          <w:sz w:val="28"/>
          <w:szCs w:val="28"/>
        </w:rPr>
        <w:t>(二)</w:t>
      </w:r>
      <w:r>
        <w:rPr>
          <w:rFonts w:hint="eastAsia" w:ascii="仿宋" w:hAnsi="仿宋" w:eastAsia="仿宋" w:cs="仿宋"/>
          <w:b/>
          <w:bCs/>
          <w:sz w:val="28"/>
          <w:szCs w:val="28"/>
        </w:rPr>
        <w:t xml:space="preserve"> 复试资格筛选办法</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rPr>
        <w:t>为了加强硕士研究生复试工作的管理，保障招生工作的有序、有</w:t>
      </w:r>
      <w:r>
        <w:rPr>
          <w:rFonts w:hint="eastAsia" w:ascii="仿宋" w:hAnsi="仿宋" w:eastAsia="仿宋" w:cs="仿宋"/>
          <w:sz w:val="28"/>
          <w:szCs w:val="28"/>
          <w:highlight w:val="none"/>
        </w:rPr>
        <w:t>效，结合学科特点，复试资格筛选办法如下：</w:t>
      </w:r>
    </w:p>
    <w:p>
      <w:pPr>
        <w:ind w:firstLine="555"/>
        <w:rPr>
          <w:rFonts w:ascii="仿宋" w:hAnsi="仿宋" w:eastAsia="仿宋" w:cs="仿宋"/>
          <w:sz w:val="28"/>
          <w:szCs w:val="28"/>
          <w:highlight w:val="none"/>
        </w:rPr>
      </w:pPr>
      <w:r>
        <w:rPr>
          <w:rFonts w:hint="eastAsia" w:ascii="仿宋" w:hAnsi="仿宋" w:eastAsia="仿宋" w:cs="仿宋"/>
          <w:sz w:val="28"/>
          <w:szCs w:val="28"/>
          <w:highlight w:val="none"/>
        </w:rPr>
        <w:t>考生成绩须达到国家相应的分数线标准，并满足江西科技师范大学的相关规定，按初试成绩总分，依次从高到低选拔。</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（三）复试资格审查及既往材料要求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复试前</w:t>
      </w:r>
      <w:r>
        <w:rPr>
          <w:rFonts w:hint="eastAsia" w:ascii="仿宋" w:hAnsi="仿宋" w:eastAsia="仿宋" w:cs="仿宋"/>
          <w:sz w:val="28"/>
          <w:szCs w:val="28"/>
          <w:lang w:val="en-US" w:eastAsia="zh-CN"/>
        </w:rPr>
        <w:t>将</w:t>
      </w:r>
      <w:r>
        <w:rPr>
          <w:rFonts w:hint="eastAsia" w:ascii="仿宋" w:hAnsi="仿宋" w:eastAsia="仿宋" w:cs="仿宋"/>
          <w:sz w:val="28"/>
          <w:szCs w:val="28"/>
        </w:rPr>
        <w:t>对考生的居民身份证、学生证、学历学位证书、学历学籍核验结果等进行严格审查核验，对不符合规定者，不予复试。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考前要严格采取“两识别”（人脸识别、人证识别），“四比对”（报考库、学籍学历库、人口信息库、诚信档案库数据比对）等措施，加强对考生特别是报考专项计划、申请加分等有关考生的身份审核。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所有考生均要签订《诚信复试承诺书》，确保提交材料真实有效、复试过程恪守诚信。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考生在复试报到时，应提交以下材料给学院：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1.初试准考证（研招网下载）；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2.身份证及复印件（正反面），其中少数民族考生身份以报考时查验的身份证为准，复试时不得更改（身份证如果丢失，需由户口所在地派出所出具证明，并于证明上贴本人照片并骑缝加盖公章）；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应届考生：学生证或在读证明以及《教育部学籍在线验证报告》的下载件，复试时尚未取得本科毕业证书的自考和网络教育考生，须凭颁发证书的省级高等教育自学考试办公室或网络教育高校出具的相关证明方可参加复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历届考生：毕业证、学位证及复印件，《教育部学历证书电子注册备案表》的下载件；因毕业时间早而不能在线验证的，需提供教育部《中国高等教育学历认证报告》；在境外获得学历或学位证书的考生需提供学历或学位证书以及教育部留学服务中心出具的《国外学历学位认证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5.所在学校学籍管理部门盖有公章的成绩证明；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6.《2024年江西科技师范大学研究生招生政审表》（见附件1）；</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7.报考类别为定向的考生复试时还需提交加盖有关单位公章的定向协议书；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少数民族高层骨干人才计划的考生须提供《报考2024年少数民族高层次骨干人才计划硕士研究生考生登记表》；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8.退役大学生士兵专项计划考生需提交本人入伍前的入学信息以及入伍、退役证书；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9.享受加分政策的考生应提交相应的加分证明材料原件及复印件；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10.《诚信复试承诺书》（见附件2）；</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11.其他能力证明材料</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特别提示：资格审查（复审）未通过的考生，一律不予复试，不得录取。</w:t>
      </w:r>
    </w:p>
    <w:p>
      <w:pPr>
        <w:ind w:firstLine="562" w:firstLineChars="200"/>
        <w:rPr>
          <w:rFonts w:ascii="仿宋" w:hAnsi="仿宋" w:eastAsia="仿宋" w:cs="仿宋"/>
          <w:b/>
          <w:sz w:val="28"/>
          <w:szCs w:val="28"/>
        </w:rPr>
      </w:pPr>
      <w:r>
        <w:rPr>
          <w:rFonts w:hint="eastAsia" w:ascii="仿宋" w:hAnsi="仿宋" w:eastAsia="仿宋" w:cs="仿宋"/>
          <w:b/>
          <w:sz w:val="28"/>
          <w:szCs w:val="28"/>
        </w:rPr>
        <w:t>（四）复试内容及计分办法</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1.复试内容</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第一阶段：</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思想政治素质和品德考核。采取“函调”的方式对考生的思想政治素质和品德进行考核。学院招生工作领导小组根据考生提交的《江西科技师范大学研究生招生政审表》进行考核。</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第二阶段：</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复试内容包括专业能力考核、综合素质考核两部分。专业能力考核包括外语听说能力测试和专业课测试；综合素质考核包括实验（实践）能力测试和综合面试。</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（1）外语能力测试：以面试形式进行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每位考生测试时间不少于5分钟。测试重在考察考生运用外语进行交流的能力，主要从发音的正确性、使用语言的准确性、流利程度、理解和判断能力等方面进行测试。</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（2）专业课测试（复试科目笔试）：依据《2024年硕士研究生招生简章》中公布的复试笔试科目内容进行。</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（3）实验（实践）能力测试：以面试形式进行，主要测试其理论联系社会实际和解决问题的能力。</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综合面试：考核内容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面试全程由各专业复试小组负责考核，面试成绩由每位复试小组成员独立给出分数，然后取算术平均值得出。</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每个考生总计面试时长一般为30分钟左右，具体时间可由面试专家组根据面试情况适当调整。</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2.计分办法及具体要求</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复试成绩总分200分，其中专业能力考核100分，综合素质考核100分。专业能力考核成绩包括外语听说能力测试25分、专业课测试75分；综合素质考核成绩包括实验（实践）能力测试和综合面试共计100分。管理联考考生复试总分250分，其中思想政治理论考试成绩50分。</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（2）考生复试成绩包括专业能力考核、综合素质考核两部分成绩之和，其复试成绩低于120分视为复试成绩不合格。管理联考考生复试成绩低于150分视为复试成绩不合格。</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（3）专业课测试范围依据《招生简章》中公布的复试科目内容进行。</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同等学力考生在复试期间除参加上述各项内容的复试外，还须按《招生简章》要求加试所报考专业的两门本科主干课程。加试方式为笔试。试卷满分为100分，加试科目成绩不计入复试总分。加试科目低于60分为不合格。</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（5）管理类联考专业考生均应参加思想政治理论考试，以面试形式展开。</w:t>
      </w:r>
    </w:p>
    <w:p>
      <w:pPr>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（五）特殊加分政策</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退役大学生士兵计划”考生进入复试的初试成绩基本要求为：初试总分为500分的，考生总分低于国家A类考生复试线30分以内（含30分），单科低于国家A类考生复试线10分以内（含10分）；初试总分为300的，考生总分低于国家A类考生复试线20分以内（含20分），单科低于国家A类考生复试线10分以内（含10分）。</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根据教育部《2024年全国硕士研究生招生工作管理规定》文件精神，享受加分政策考生的初试成绩以加分后的为准，如加分后达到了学校划定的复试分数线，则一并列入复试名单。以下情况可享受初试总分加分政策</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（2）退役大学生士兵达到报考条件后，3年内参加全国硕士研究生招生考试，初试总分加10分，同等条件下优先录取。报考（含调剂）“退役大学生士兵”专项计划的，不享受退役大学生士兵初试加分政策；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（3）参加“选聘高校毕业生到村任职”项目服务期满、考核称职以上的考生，3年内参加全国硕士生招生考试的，初试总分加10分，同等条件下优先录取，其中报考人文社科类专业研究生的，初试总分加15分。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加分项目不累计，同时满足两项以上加分条件的考生按最高项加分。学校将根据教育部有关要求对加分项目考生提供的相关证明材料进行严格审核，并在审核通过后进行公示，经公示无异议后方可进行加分。</w:t>
      </w:r>
    </w:p>
    <w:p>
      <w:pPr>
        <w:ind w:firstLine="562" w:firstLineChars="200"/>
        <w:rPr>
          <w:rFonts w:ascii="黑体" w:hAnsi="黑体" w:eastAsia="黑体" w:cs="黑体"/>
          <w:b/>
          <w:sz w:val="28"/>
          <w:szCs w:val="28"/>
        </w:rPr>
      </w:pPr>
      <w:r>
        <w:rPr>
          <w:rFonts w:hint="eastAsia" w:ascii="黑体" w:hAnsi="黑体" w:eastAsia="黑体" w:cs="黑体"/>
          <w:b/>
          <w:sz w:val="28"/>
          <w:szCs w:val="28"/>
        </w:rPr>
        <w:t>二、体检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我校不组织在校体检，体检标准参照教育部、卫生部、中国残联制订的《普通高等学校招生体检工作指导意见》（教学〔2003〕3号）和《教育部办公厅 卫生部办公厅关于普通高等学校招生学生入学身体检查取消乙肝项目检测有关问题的通知》（教学厅〔2010〕2号）文件进行，我校对体检要求不做另行规定。在拟录取后需提供一份二级甲等及以上医院的常规体检报告，在规定时间内（一般在接收拟录取5天内）交至所在学院。体检结论由校医院确定，体检异议由校医院负责解释。体检不合格者，则取消其录取资格。</w:t>
      </w:r>
    </w:p>
    <w:p>
      <w:pPr>
        <w:ind w:firstLine="562" w:firstLineChars="200"/>
        <w:rPr>
          <w:rFonts w:ascii="仿宋" w:hAnsi="仿宋" w:eastAsia="仿宋" w:cs="仿宋"/>
          <w:sz w:val="28"/>
          <w:szCs w:val="28"/>
        </w:rPr>
      </w:pPr>
      <w:r>
        <w:rPr>
          <w:rFonts w:hint="eastAsia" w:ascii="黑体" w:hAnsi="黑体" w:eastAsia="黑体" w:cs="黑体"/>
          <w:b/>
          <w:sz w:val="28"/>
          <w:szCs w:val="28"/>
        </w:rPr>
        <w:t>三、录取</w:t>
      </w:r>
    </w:p>
    <w:p>
      <w:pPr>
        <w:ind w:firstLine="560" w:firstLineChars="200"/>
        <w:rPr>
          <w:rFonts w:ascii="仿宋" w:hAnsi="仿宋" w:eastAsia="仿宋" w:cs="仿宋"/>
          <w:sz w:val="28"/>
          <w:szCs w:val="28"/>
        </w:rPr>
      </w:pPr>
      <w:r>
        <w:rPr>
          <w:rFonts w:hint="eastAsia" w:ascii="仿宋" w:hAnsi="仿宋" w:eastAsia="仿宋" w:cs="仿宋"/>
          <w:sz w:val="28"/>
          <w:szCs w:val="28"/>
        </w:rPr>
        <w:t> （一）录取类别</w:t>
      </w:r>
    </w:p>
    <w:p>
      <w:pPr>
        <w:ind w:firstLine="560" w:firstLineChars="200"/>
        <w:rPr>
          <w:rFonts w:ascii="仿宋" w:hAnsi="仿宋" w:eastAsia="仿宋" w:cs="仿宋"/>
          <w:sz w:val="28"/>
          <w:szCs w:val="28"/>
        </w:rPr>
      </w:pPr>
      <w:r>
        <w:rPr>
          <w:rFonts w:hint="eastAsia" w:ascii="仿宋" w:hAnsi="仿宋" w:eastAsia="仿宋" w:cs="仿宋"/>
          <w:sz w:val="28"/>
          <w:szCs w:val="28"/>
        </w:rPr>
        <w:t>我校拟录取研究生按学习形式分为全日制和非全日制，按就业方式分为定向和非定向。</w:t>
      </w:r>
    </w:p>
    <w:p>
      <w:pPr>
        <w:ind w:firstLine="560" w:firstLineChars="200"/>
        <w:rPr>
          <w:rFonts w:ascii="仿宋" w:hAnsi="仿宋" w:eastAsia="仿宋" w:cs="仿宋"/>
          <w:sz w:val="28"/>
          <w:szCs w:val="28"/>
        </w:rPr>
      </w:pPr>
      <w:r>
        <w:rPr>
          <w:rFonts w:hint="eastAsia" w:ascii="仿宋" w:hAnsi="仿宋" w:eastAsia="仿宋" w:cs="仿宋"/>
          <w:sz w:val="28"/>
          <w:szCs w:val="28"/>
        </w:rPr>
        <w:t>全日制非定向研究生须调档案、享受研究生奖助学金（全脱产学习，人事关系转入我校，且无固定工资收入）；全日制定向研究生不调档案，不享受研究生奖助学金，签订定向培养协议。</w:t>
      </w:r>
    </w:p>
    <w:p>
      <w:pPr>
        <w:ind w:firstLine="560" w:firstLineChars="200"/>
        <w:rPr>
          <w:rFonts w:ascii="仿宋" w:hAnsi="仿宋" w:eastAsia="仿宋" w:cs="仿宋"/>
          <w:sz w:val="28"/>
          <w:szCs w:val="28"/>
        </w:rPr>
      </w:pPr>
      <w:r>
        <w:rPr>
          <w:rFonts w:hint="eastAsia" w:ascii="仿宋" w:hAnsi="仿宋" w:eastAsia="仿宋" w:cs="仿宋"/>
          <w:sz w:val="28"/>
          <w:szCs w:val="28"/>
        </w:rPr>
        <w:t>非全日制（含非定向、定向）研究生不调档案，不享受研究生奖助学金，原则上不安排住宿，非全日制定向研究生须签订定向培养协议。</w:t>
      </w:r>
    </w:p>
    <w:p>
      <w:pPr>
        <w:ind w:firstLine="560" w:firstLineChars="200"/>
        <w:rPr>
          <w:rFonts w:ascii="仿宋" w:hAnsi="仿宋" w:eastAsia="仿宋" w:cs="仿宋"/>
          <w:sz w:val="28"/>
          <w:szCs w:val="28"/>
        </w:rPr>
      </w:pPr>
      <w:r>
        <w:rPr>
          <w:rFonts w:hint="eastAsia" w:ascii="仿宋" w:hAnsi="仿宋" w:eastAsia="仿宋" w:cs="仿宋"/>
          <w:sz w:val="28"/>
          <w:szCs w:val="28"/>
        </w:rPr>
        <w:t>（二）录取规则</w:t>
      </w:r>
    </w:p>
    <w:p>
      <w:pPr>
        <w:ind w:firstLine="560" w:firstLineChars="200"/>
        <w:rPr>
          <w:rFonts w:ascii="仿宋" w:hAnsi="仿宋" w:eastAsia="仿宋" w:cs="仿宋"/>
          <w:sz w:val="28"/>
          <w:szCs w:val="28"/>
        </w:rPr>
      </w:pPr>
      <w:r>
        <w:rPr>
          <w:rFonts w:hint="eastAsia" w:ascii="仿宋" w:hAnsi="仿宋" w:eastAsia="仿宋" w:cs="仿宋"/>
          <w:sz w:val="28"/>
          <w:szCs w:val="28"/>
        </w:rPr>
        <w:t>1.贯彻对考生进行德智体能全面衡量的精神，坚持择优录取，保证质量，宁缺毋滥的原则。对参加复试合格的考生先录取报考第一志愿考生，再录取调剂考生。</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2.录取时按照考生总成绩从高到低进行名次排序，若总成绩相同，按照复试成绩从高到低排序，调剂考生可根据复试批次，分批次排名，分批次录取。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考生总成绩计算公式为：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考生总成绩=（初试总成绩÷2.5）×60%+复试总成绩×40%。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管理类联考总分为300的专业，考生总成绩计算公式为：考生总成绩=（初试总成绩</w:t>
      </w:r>
      <w:r>
        <w:rPr>
          <w:rFonts w:hint="eastAsia" w:ascii="仿宋" w:hAnsi="仿宋" w:eastAsia="仿宋" w:cs="仿宋"/>
          <w:sz w:val="28"/>
          <w:szCs w:val="28"/>
          <w:highlight w:val="none"/>
        </w:rPr>
        <w:t>÷1.5）×60%+（复试总成绩÷1.25）×40%</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3.凡未进行资格审查或资格审查未通过的考生一律不予录取。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4.没有参加复试或者复试成绩不合格的考生将不予录取。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5.对同等学力考生，加试科目不及格者，不予录取。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6.对于思想品德考核不合格者不予录取。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7.定向就业的硕士研究生应当在被录取前与我校、用人单位分别签订定向就业合同，考生因报考硕士研究生与所在单位产生的问题由考生自行处理。若因此造成考生不能复试或无法录取，我校不承担责任。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8.应届本科毕业生及自学考试和网络教育届时可毕业本科生考生，入学时未取得国家承认的本科毕业证书者，录取资格无效。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9.2024年拟录取的硕士研究生入学后3个月内，我校将对所有考生进行全面复查。复查不合格者，取消学籍；情节严重的，移交有关部门调查处理。</w:t>
      </w:r>
    </w:p>
    <w:p>
      <w:pPr>
        <w:ind w:firstLine="562" w:firstLineChars="200"/>
        <w:rPr>
          <w:rFonts w:ascii="黑体" w:hAnsi="黑体" w:eastAsia="黑体" w:cs="黑体"/>
          <w:b/>
          <w:sz w:val="28"/>
          <w:szCs w:val="28"/>
        </w:rPr>
      </w:pPr>
      <w:r>
        <w:rPr>
          <w:rFonts w:hint="eastAsia" w:ascii="黑体" w:hAnsi="黑体" w:eastAsia="黑体" w:cs="黑体"/>
          <w:b/>
          <w:sz w:val="28"/>
          <w:szCs w:val="28"/>
        </w:rPr>
        <w:t>四、信息公开与监督</w:t>
      </w:r>
    </w:p>
    <w:p>
      <w:pPr>
        <w:ind w:firstLine="560" w:firstLineChars="200"/>
        <w:rPr>
          <w:rFonts w:ascii="仿宋" w:hAnsi="仿宋" w:eastAsia="仿宋" w:cs="仿宋"/>
          <w:sz w:val="28"/>
          <w:szCs w:val="28"/>
        </w:rPr>
      </w:pPr>
      <w:r>
        <w:rPr>
          <w:rFonts w:hint="eastAsia" w:ascii="仿宋" w:hAnsi="仿宋" w:eastAsia="仿宋" w:cs="仿宋"/>
          <w:sz w:val="28"/>
          <w:szCs w:val="28"/>
        </w:rPr>
        <w:t>将在</w:t>
      </w:r>
      <w:r>
        <w:rPr>
          <w:rFonts w:hint="eastAsia" w:ascii="仿宋" w:hAnsi="仿宋" w:eastAsia="仿宋" w:cs="仿宋"/>
          <w:sz w:val="28"/>
          <w:szCs w:val="28"/>
          <w:lang w:eastAsia="zh-CN"/>
        </w:rPr>
        <w:t>经济管理与法学院</w:t>
      </w:r>
      <w:r>
        <w:rPr>
          <w:rFonts w:hint="eastAsia" w:ascii="仿宋" w:hAnsi="仿宋" w:eastAsia="仿宋" w:cs="仿宋"/>
          <w:sz w:val="28"/>
          <w:szCs w:val="28"/>
        </w:rPr>
        <w:t>官方网站上公布复试名单、拟录取名单（包括考生姓名、考生编号、初试成绩、复试成绩、总成绩等信息）等。</w:t>
      </w:r>
    </w:p>
    <w:p>
      <w:pPr>
        <w:ind w:firstLine="560" w:firstLineChars="200"/>
        <w:rPr>
          <w:rFonts w:ascii="仿宋" w:hAnsi="仿宋" w:eastAsia="仿宋" w:cs="仿宋"/>
          <w:sz w:val="28"/>
          <w:szCs w:val="28"/>
        </w:rPr>
      </w:pPr>
      <w:r>
        <w:rPr>
          <w:rFonts w:hint="eastAsia" w:ascii="仿宋" w:hAnsi="仿宋" w:eastAsia="仿宋" w:cs="仿宋"/>
          <w:sz w:val="28"/>
          <w:szCs w:val="28"/>
        </w:rPr>
        <w:t>复试及调剂录取规定研究生院工作咨询电话：0791-83876373、83823357；电子邮箱：jxksdzj@163.com。</w:t>
      </w:r>
    </w:p>
    <w:p>
      <w:pPr>
        <w:ind w:firstLine="560" w:firstLineChars="200"/>
        <w:rPr>
          <w:rFonts w:ascii="仿宋" w:hAnsi="仿宋" w:eastAsia="仿宋" w:cs="仿宋"/>
          <w:sz w:val="28"/>
          <w:szCs w:val="28"/>
        </w:rPr>
      </w:pPr>
      <w:r>
        <w:rPr>
          <w:rFonts w:hint="eastAsia" w:ascii="仿宋" w:hAnsi="仿宋" w:eastAsia="仿宋" w:cs="仿宋"/>
          <w:sz w:val="28"/>
          <w:szCs w:val="28"/>
        </w:rPr>
        <w:t>学校复试及录取工作监督和投诉电话：校研究生院：0791-83876373；校纪委监督检查室：0791-83805935。</w:t>
      </w:r>
    </w:p>
    <w:p>
      <w:pPr>
        <w:ind w:firstLine="562" w:firstLineChars="200"/>
        <w:rPr>
          <w:rFonts w:ascii="黑体" w:hAnsi="黑体" w:eastAsia="黑体" w:cs="黑体"/>
          <w:b/>
          <w:sz w:val="28"/>
          <w:szCs w:val="28"/>
        </w:rPr>
      </w:pPr>
      <w:r>
        <w:rPr>
          <w:rFonts w:hint="eastAsia" w:ascii="黑体" w:hAnsi="黑体" w:eastAsia="黑体" w:cs="黑体"/>
          <w:b/>
          <w:sz w:val="28"/>
          <w:szCs w:val="28"/>
        </w:rPr>
        <w:t>五、其他</w:t>
      </w:r>
    </w:p>
    <w:p>
      <w:pPr>
        <w:ind w:firstLine="560" w:firstLineChars="200"/>
        <w:rPr>
          <w:rFonts w:ascii="仿宋" w:hAnsi="仿宋" w:eastAsia="仿宋" w:cs="仿宋"/>
          <w:sz w:val="28"/>
          <w:szCs w:val="28"/>
        </w:rPr>
      </w:pPr>
      <w:r>
        <w:rPr>
          <w:rFonts w:hint="eastAsia" w:ascii="仿宋" w:hAnsi="仿宋" w:eastAsia="仿宋" w:cs="仿宋"/>
          <w:sz w:val="28"/>
          <w:szCs w:val="28"/>
        </w:rPr>
        <w:t>1.复试期间发现考生不符合报考规定条件、政治思想道德及身心健康状况不符合录取要求的，一律视为不合格，不予录取。</w:t>
      </w:r>
    </w:p>
    <w:p>
      <w:pPr>
        <w:ind w:firstLine="560" w:firstLineChars="200"/>
        <w:rPr>
          <w:rFonts w:ascii="仿宋" w:hAnsi="仿宋" w:eastAsia="仿宋" w:cs="仿宋"/>
          <w:sz w:val="28"/>
          <w:szCs w:val="28"/>
        </w:rPr>
      </w:pPr>
      <w:r>
        <w:rPr>
          <w:rFonts w:hint="eastAsia" w:ascii="仿宋" w:hAnsi="仿宋" w:eastAsia="仿宋" w:cs="仿宋"/>
          <w:sz w:val="28"/>
          <w:szCs w:val="28"/>
        </w:rPr>
        <w:t>3.考生本人须签写《诚信复试承诺书》，承诺所提交全部材料真实和复试过程诚实守信。</w:t>
      </w:r>
    </w:p>
    <w:p>
      <w:pPr>
        <w:ind w:firstLine="560" w:firstLineChars="200"/>
        <w:rPr>
          <w:rFonts w:ascii="仿宋" w:hAnsi="仿宋" w:eastAsia="仿宋" w:cs="仿宋"/>
          <w:sz w:val="28"/>
          <w:szCs w:val="28"/>
        </w:rPr>
      </w:pPr>
      <w:r>
        <w:rPr>
          <w:rFonts w:hint="eastAsia" w:ascii="仿宋" w:hAnsi="仿宋" w:eastAsia="仿宋" w:cs="仿宋"/>
          <w:sz w:val="28"/>
          <w:szCs w:val="28"/>
        </w:rPr>
        <w:t>4.在复试过程中存在违规行为的考生，一经查实，即按照《国家教育考试违规处理办法》、《普通高等学校招生违规行为处理暂行办法》等规定严肃处理。</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5.其他未尽事宜参照《江西科技师范大学 </w:t>
      </w:r>
      <w:r>
        <w:rPr>
          <w:rFonts w:hint="eastAsia" w:ascii="仿宋" w:hAnsi="仿宋" w:eastAsia="仿宋" w:cs="仿宋"/>
          <w:sz w:val="28"/>
          <w:szCs w:val="28"/>
          <w:lang w:eastAsia="zh-CN"/>
        </w:rPr>
        <w:t>2024年</w:t>
      </w:r>
      <w:r>
        <w:rPr>
          <w:rFonts w:hint="eastAsia" w:ascii="仿宋" w:hAnsi="仿宋" w:eastAsia="仿宋" w:cs="仿宋"/>
          <w:sz w:val="28"/>
          <w:szCs w:val="28"/>
        </w:rPr>
        <w:t>硕士研究生复试录取办法》。</w:t>
      </w:r>
    </w:p>
    <w:p>
      <w:pPr>
        <w:ind w:firstLine="562" w:firstLineChars="200"/>
        <w:rPr>
          <w:rFonts w:ascii="黑体" w:hAnsi="黑体" w:eastAsia="黑体" w:cs="黑体"/>
          <w:b/>
          <w:sz w:val="28"/>
          <w:szCs w:val="28"/>
        </w:rPr>
      </w:pPr>
      <w:r>
        <w:rPr>
          <w:rFonts w:hint="eastAsia" w:ascii="黑体" w:hAnsi="黑体" w:eastAsia="黑体" w:cs="黑体"/>
          <w:b/>
          <w:sz w:val="28"/>
          <w:szCs w:val="28"/>
        </w:rPr>
        <w:t>六、联系方式</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联系人：胡</w:t>
      </w:r>
      <w:r>
        <w:rPr>
          <w:rFonts w:hint="eastAsia" w:ascii="仿宋" w:hAnsi="仿宋" w:eastAsia="仿宋" w:cs="仿宋"/>
          <w:sz w:val="28"/>
          <w:szCs w:val="28"/>
          <w:highlight w:val="none"/>
          <w:lang w:val="en-US" w:eastAsia="zh-CN"/>
        </w:rPr>
        <w:t>老师</w:t>
      </w:r>
      <w:r>
        <w:rPr>
          <w:rFonts w:hint="eastAsia" w:ascii="仿宋" w:hAnsi="仿宋" w:eastAsia="仿宋" w:cs="仿宋"/>
          <w:sz w:val="28"/>
          <w:szCs w:val="28"/>
          <w:highlight w:val="none"/>
        </w:rPr>
        <w:t xml:space="preserve"> </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联系电话：0791-838</w:t>
      </w:r>
      <w:r>
        <w:rPr>
          <w:rFonts w:hint="eastAsia" w:ascii="仿宋" w:hAnsi="仿宋" w:eastAsia="仿宋" w:cs="仿宋"/>
          <w:sz w:val="28"/>
          <w:szCs w:val="28"/>
          <w:highlight w:val="none"/>
          <w:lang w:val="en-US" w:eastAsia="zh-CN"/>
        </w:rPr>
        <w:t>47672</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联系邮箱：1937978308@qq.com</w:t>
      </w:r>
    </w:p>
    <w:p>
      <w:pPr>
        <w:ind w:firstLine="560" w:firstLineChars="200"/>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经济管理与法学院</w:t>
      </w:r>
    </w:p>
    <w:p>
      <w:pPr>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2024年3月28日</w:t>
      </w:r>
    </w:p>
    <w:p>
      <w:pPr>
        <w:rPr>
          <w:rFonts w:ascii="仿宋" w:hAnsi="仿宋" w:eastAsia="仿宋" w:cs="仿宋"/>
          <w:sz w:val="28"/>
          <w:szCs w:val="28"/>
        </w:rPr>
      </w:pPr>
      <w:bookmarkStart w:id="0" w:name="_GoBack"/>
      <w:bookmarkEnd w:id="0"/>
    </w:p>
    <w:p>
      <w:pPr>
        <w:pStyle w:val="4"/>
        <w:spacing w:beforeAutospacing="0" w:afterAutospacing="0" w:line="540" w:lineRule="exact"/>
        <w:jc w:val="both"/>
        <w:rPr>
          <w:rFonts w:ascii="Times New Roman" w:hAnsi="Times New Roman" w:eastAsia="仿宋_GB2312"/>
          <w:sz w:val="32"/>
          <w:szCs w:val="32"/>
        </w:rPr>
      </w:pPr>
      <w:r>
        <w:rPr>
          <w:rFonts w:hint="eastAsia" w:ascii="Times New Roman" w:hAnsi="Times New Roman" w:eastAsia="仿宋_GB2312"/>
          <w:sz w:val="32"/>
          <w:szCs w:val="32"/>
        </w:rPr>
        <w:t>附件1：</w:t>
      </w:r>
    </w:p>
    <w:p>
      <w:pPr>
        <w:pStyle w:val="4"/>
        <w:spacing w:beforeLines="50" w:beforeAutospacing="0" w:afterLines="50" w:afterAutospacing="0" w:line="540" w:lineRule="exact"/>
        <w:jc w:val="center"/>
        <w:rPr>
          <w:rFonts w:ascii="Times New Roman" w:hAnsi="Times New Roman" w:eastAsia="黑体"/>
          <w:sz w:val="32"/>
          <w:szCs w:val="32"/>
        </w:rPr>
      </w:pPr>
      <w:r>
        <w:rPr>
          <w:rFonts w:ascii="Times New Roman" w:hAnsi="Times New Roman" w:eastAsia="黑体"/>
          <w:sz w:val="32"/>
          <w:szCs w:val="32"/>
        </w:rPr>
        <w:t>202</w:t>
      </w:r>
      <w:r>
        <w:rPr>
          <w:rFonts w:hint="eastAsia" w:ascii="Times New Roman" w:hAnsi="Times New Roman" w:eastAsia="黑体"/>
          <w:sz w:val="32"/>
          <w:szCs w:val="32"/>
          <w:lang w:val="en-US" w:eastAsia="zh-CN"/>
        </w:rPr>
        <w:t>4</w:t>
      </w:r>
      <w:r>
        <w:rPr>
          <w:rFonts w:ascii="Times New Roman" w:hAnsi="黑体" w:eastAsia="黑体"/>
          <w:sz w:val="32"/>
          <w:szCs w:val="32"/>
        </w:rPr>
        <w:t>年江西科技师范大学研究生招生政审表</w:t>
      </w:r>
    </w:p>
    <w:p>
      <w:pPr>
        <w:jc w:val="left"/>
        <w:rPr>
          <w:bCs/>
        </w:rPr>
      </w:pPr>
      <w:r>
        <w:rPr>
          <w:rFonts w:hint="eastAsia"/>
          <w:bCs/>
        </w:rPr>
        <w:t>报考学科专业（领域）：</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540"/>
        <w:gridCol w:w="1080"/>
        <w:gridCol w:w="956"/>
        <w:gridCol w:w="720"/>
        <w:gridCol w:w="124"/>
        <w:gridCol w:w="1080"/>
        <w:gridCol w:w="2520"/>
        <w:gridCol w:w="900"/>
        <w:gridCol w:w="12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260" w:type="dxa"/>
            <w:gridSpan w:val="2"/>
            <w:noWrap w:val="0"/>
            <w:vAlign w:val="center"/>
          </w:tcPr>
          <w:p>
            <w:pPr>
              <w:spacing w:line="400" w:lineRule="exact"/>
              <w:ind w:firstLine="210"/>
              <w:jc w:val="center"/>
              <w:rPr>
                <w:bCs/>
              </w:rPr>
            </w:pPr>
            <w:r>
              <w:rPr>
                <w:rFonts w:hint="eastAsia"/>
                <w:bCs/>
              </w:rPr>
              <w:t>姓</w:t>
            </w:r>
            <w:r>
              <w:rPr>
                <w:bCs/>
              </w:rPr>
              <w:t xml:space="preserve"> </w:t>
            </w:r>
            <w:r>
              <w:rPr>
                <w:rFonts w:hint="eastAsia"/>
                <w:bCs/>
              </w:rPr>
              <w:t>名</w:t>
            </w:r>
          </w:p>
        </w:tc>
        <w:tc>
          <w:tcPr>
            <w:tcW w:w="1080" w:type="dxa"/>
            <w:noWrap w:val="0"/>
            <w:vAlign w:val="center"/>
          </w:tcPr>
          <w:p>
            <w:pPr>
              <w:spacing w:line="400" w:lineRule="exact"/>
              <w:jc w:val="center"/>
              <w:rPr>
                <w:bCs/>
              </w:rPr>
            </w:pPr>
          </w:p>
        </w:tc>
        <w:tc>
          <w:tcPr>
            <w:tcW w:w="956" w:type="dxa"/>
            <w:noWrap w:val="0"/>
            <w:vAlign w:val="center"/>
          </w:tcPr>
          <w:p>
            <w:pPr>
              <w:spacing w:line="400" w:lineRule="exact"/>
              <w:jc w:val="center"/>
              <w:rPr>
                <w:bCs/>
              </w:rPr>
            </w:pPr>
            <w:r>
              <w:rPr>
                <w:rFonts w:hint="eastAsia"/>
                <w:bCs/>
              </w:rPr>
              <w:t>性别</w:t>
            </w:r>
          </w:p>
        </w:tc>
        <w:tc>
          <w:tcPr>
            <w:tcW w:w="720" w:type="dxa"/>
            <w:noWrap w:val="0"/>
            <w:vAlign w:val="center"/>
          </w:tcPr>
          <w:p>
            <w:pPr>
              <w:spacing w:line="400" w:lineRule="exact"/>
              <w:jc w:val="center"/>
              <w:rPr>
                <w:bCs/>
              </w:rPr>
            </w:pPr>
          </w:p>
        </w:tc>
        <w:tc>
          <w:tcPr>
            <w:tcW w:w="1204" w:type="dxa"/>
            <w:gridSpan w:val="2"/>
            <w:noWrap w:val="0"/>
            <w:vAlign w:val="center"/>
          </w:tcPr>
          <w:p>
            <w:pPr>
              <w:spacing w:line="400" w:lineRule="exact"/>
              <w:jc w:val="center"/>
              <w:rPr>
                <w:bCs/>
              </w:rPr>
            </w:pPr>
            <w:r>
              <w:rPr>
                <w:rFonts w:hint="eastAsia"/>
                <w:bCs/>
              </w:rPr>
              <w:t>出生年月</w:t>
            </w:r>
          </w:p>
        </w:tc>
        <w:tc>
          <w:tcPr>
            <w:tcW w:w="2520" w:type="dxa"/>
            <w:noWrap w:val="0"/>
            <w:vAlign w:val="center"/>
          </w:tcPr>
          <w:p>
            <w:pPr>
              <w:spacing w:line="400" w:lineRule="exact"/>
              <w:jc w:val="center"/>
              <w:rPr>
                <w:bCs/>
              </w:rPr>
            </w:pPr>
          </w:p>
        </w:tc>
        <w:tc>
          <w:tcPr>
            <w:tcW w:w="900" w:type="dxa"/>
            <w:noWrap w:val="0"/>
            <w:vAlign w:val="center"/>
          </w:tcPr>
          <w:p>
            <w:pPr>
              <w:spacing w:line="400" w:lineRule="exact"/>
              <w:jc w:val="center"/>
              <w:rPr>
                <w:bCs/>
              </w:rPr>
            </w:pPr>
            <w:r>
              <w:rPr>
                <w:rFonts w:hint="eastAsia"/>
                <w:bCs/>
              </w:rPr>
              <w:t>籍</w:t>
            </w:r>
            <w:r>
              <w:rPr>
                <w:bCs/>
              </w:rPr>
              <w:t xml:space="preserve">  </w:t>
            </w:r>
            <w:r>
              <w:rPr>
                <w:rFonts w:hint="eastAsia"/>
                <w:bCs/>
              </w:rPr>
              <w:t>贯</w:t>
            </w:r>
          </w:p>
        </w:tc>
        <w:tc>
          <w:tcPr>
            <w:tcW w:w="1204" w:type="dxa"/>
            <w:noWrap w:val="0"/>
            <w:vAlign w:val="center"/>
          </w:tcPr>
          <w:p>
            <w:pPr>
              <w:spacing w:line="400" w:lineRule="exact"/>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60" w:type="dxa"/>
            <w:gridSpan w:val="2"/>
            <w:noWrap w:val="0"/>
            <w:vAlign w:val="center"/>
          </w:tcPr>
          <w:p>
            <w:pPr>
              <w:spacing w:line="480" w:lineRule="exact"/>
              <w:ind w:firstLine="210"/>
              <w:jc w:val="center"/>
              <w:rPr>
                <w:bCs/>
              </w:rPr>
            </w:pPr>
            <w:r>
              <w:rPr>
                <w:rFonts w:hint="eastAsia"/>
                <w:bCs/>
              </w:rPr>
              <w:t>曾用名</w:t>
            </w:r>
          </w:p>
        </w:tc>
        <w:tc>
          <w:tcPr>
            <w:tcW w:w="1080" w:type="dxa"/>
            <w:noWrap w:val="0"/>
            <w:vAlign w:val="center"/>
          </w:tcPr>
          <w:p>
            <w:pPr>
              <w:spacing w:line="480" w:lineRule="exact"/>
              <w:jc w:val="center"/>
              <w:rPr>
                <w:bCs/>
              </w:rPr>
            </w:pPr>
          </w:p>
        </w:tc>
        <w:tc>
          <w:tcPr>
            <w:tcW w:w="956" w:type="dxa"/>
            <w:noWrap w:val="0"/>
            <w:vAlign w:val="center"/>
          </w:tcPr>
          <w:p>
            <w:pPr>
              <w:spacing w:line="480" w:lineRule="exact"/>
              <w:jc w:val="center"/>
              <w:rPr>
                <w:bCs/>
              </w:rPr>
            </w:pPr>
            <w:r>
              <w:rPr>
                <w:rFonts w:hint="eastAsia"/>
                <w:bCs/>
              </w:rPr>
              <w:t>民族</w:t>
            </w:r>
          </w:p>
        </w:tc>
        <w:tc>
          <w:tcPr>
            <w:tcW w:w="720" w:type="dxa"/>
            <w:noWrap w:val="0"/>
            <w:vAlign w:val="center"/>
          </w:tcPr>
          <w:p>
            <w:pPr>
              <w:spacing w:line="480" w:lineRule="exact"/>
              <w:jc w:val="center"/>
              <w:rPr>
                <w:bCs/>
              </w:rPr>
            </w:pPr>
          </w:p>
        </w:tc>
        <w:tc>
          <w:tcPr>
            <w:tcW w:w="1204" w:type="dxa"/>
            <w:gridSpan w:val="2"/>
            <w:noWrap w:val="0"/>
            <w:vAlign w:val="center"/>
          </w:tcPr>
          <w:p>
            <w:pPr>
              <w:spacing w:line="480" w:lineRule="exact"/>
              <w:jc w:val="center"/>
              <w:rPr>
                <w:bCs/>
              </w:rPr>
            </w:pPr>
            <w:r>
              <w:rPr>
                <w:rFonts w:hint="eastAsia"/>
                <w:bCs/>
              </w:rPr>
              <w:t>所在学校</w:t>
            </w:r>
          </w:p>
        </w:tc>
        <w:tc>
          <w:tcPr>
            <w:tcW w:w="2520" w:type="dxa"/>
            <w:noWrap w:val="0"/>
            <w:vAlign w:val="center"/>
          </w:tcPr>
          <w:p>
            <w:pPr>
              <w:jc w:val="center"/>
              <w:rPr>
                <w:bCs/>
              </w:rPr>
            </w:pPr>
          </w:p>
        </w:tc>
        <w:tc>
          <w:tcPr>
            <w:tcW w:w="900" w:type="dxa"/>
            <w:noWrap w:val="0"/>
            <w:vAlign w:val="center"/>
          </w:tcPr>
          <w:p>
            <w:pPr>
              <w:jc w:val="center"/>
              <w:rPr>
                <w:bCs/>
              </w:rPr>
            </w:pPr>
            <w:r>
              <w:rPr>
                <w:rFonts w:hint="eastAsia"/>
                <w:bCs/>
              </w:rPr>
              <w:t>是否华</w:t>
            </w:r>
          </w:p>
          <w:p>
            <w:pPr>
              <w:jc w:val="center"/>
              <w:rPr>
                <w:bCs/>
              </w:rPr>
            </w:pPr>
            <w:r>
              <w:rPr>
                <w:rFonts w:hint="eastAsia"/>
                <w:bCs/>
              </w:rPr>
              <w:t>侨台胞</w:t>
            </w:r>
          </w:p>
        </w:tc>
        <w:tc>
          <w:tcPr>
            <w:tcW w:w="1204" w:type="dxa"/>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260" w:type="dxa"/>
            <w:gridSpan w:val="2"/>
            <w:noWrap w:val="0"/>
            <w:vAlign w:val="center"/>
          </w:tcPr>
          <w:p>
            <w:pPr>
              <w:spacing w:line="400" w:lineRule="exact"/>
              <w:jc w:val="center"/>
              <w:rPr>
                <w:bCs/>
              </w:rPr>
            </w:pPr>
            <w:r>
              <w:rPr>
                <w:rFonts w:hint="eastAsia"/>
                <w:bCs/>
              </w:rPr>
              <w:t>政治面貌</w:t>
            </w:r>
          </w:p>
        </w:tc>
        <w:tc>
          <w:tcPr>
            <w:tcW w:w="1080" w:type="dxa"/>
            <w:noWrap w:val="0"/>
            <w:vAlign w:val="center"/>
          </w:tcPr>
          <w:p>
            <w:pPr>
              <w:spacing w:line="400" w:lineRule="exact"/>
              <w:jc w:val="center"/>
              <w:rPr>
                <w:bCs/>
              </w:rPr>
            </w:pPr>
          </w:p>
        </w:tc>
        <w:tc>
          <w:tcPr>
            <w:tcW w:w="1800" w:type="dxa"/>
            <w:gridSpan w:val="3"/>
            <w:noWrap w:val="0"/>
            <w:vAlign w:val="center"/>
          </w:tcPr>
          <w:p>
            <w:pPr>
              <w:spacing w:line="400" w:lineRule="exact"/>
              <w:jc w:val="center"/>
              <w:rPr>
                <w:bCs/>
              </w:rPr>
            </w:pPr>
            <w:r>
              <w:rPr>
                <w:rFonts w:hint="eastAsia"/>
                <w:bCs/>
              </w:rPr>
              <w:t>本科学习专业</w:t>
            </w:r>
          </w:p>
        </w:tc>
        <w:tc>
          <w:tcPr>
            <w:tcW w:w="5704" w:type="dxa"/>
            <w:gridSpan w:val="4"/>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40" w:type="dxa"/>
            <w:gridSpan w:val="3"/>
            <w:noWrap w:val="0"/>
            <w:vAlign w:val="center"/>
          </w:tcPr>
          <w:p>
            <w:pPr>
              <w:spacing w:line="480" w:lineRule="exact"/>
              <w:jc w:val="center"/>
              <w:rPr>
                <w:bCs/>
              </w:rPr>
            </w:pPr>
            <w:r>
              <w:rPr>
                <w:rFonts w:hint="eastAsia"/>
                <w:bCs/>
              </w:rPr>
              <w:t>个人联系地址、电话</w:t>
            </w:r>
          </w:p>
        </w:tc>
        <w:tc>
          <w:tcPr>
            <w:tcW w:w="7504" w:type="dxa"/>
            <w:gridSpan w:val="7"/>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720" w:type="dxa"/>
            <w:vMerge w:val="restart"/>
            <w:noWrap w:val="0"/>
            <w:vAlign w:val="center"/>
          </w:tcPr>
          <w:p>
            <w:pPr>
              <w:jc w:val="center"/>
              <w:rPr>
                <w:bCs/>
              </w:rPr>
            </w:pPr>
            <w:r>
              <w:rPr>
                <w:rFonts w:hint="eastAsia"/>
                <w:bCs/>
              </w:rPr>
              <w:t>家</w:t>
            </w:r>
          </w:p>
          <w:p>
            <w:pPr>
              <w:jc w:val="center"/>
              <w:rPr>
                <w:bCs/>
              </w:rPr>
            </w:pPr>
            <w:r>
              <w:rPr>
                <w:rFonts w:hint="eastAsia"/>
                <w:bCs/>
              </w:rPr>
              <w:t>庭</w:t>
            </w:r>
          </w:p>
          <w:p>
            <w:pPr>
              <w:jc w:val="center"/>
              <w:rPr>
                <w:bCs/>
              </w:rPr>
            </w:pPr>
            <w:r>
              <w:rPr>
                <w:rFonts w:hint="eastAsia"/>
                <w:bCs/>
              </w:rPr>
              <w:t>主</w:t>
            </w:r>
          </w:p>
          <w:p>
            <w:pPr>
              <w:jc w:val="center"/>
              <w:rPr>
                <w:bCs/>
              </w:rPr>
            </w:pPr>
            <w:r>
              <w:rPr>
                <w:rFonts w:hint="eastAsia"/>
                <w:bCs/>
              </w:rPr>
              <w:t>要</w:t>
            </w:r>
          </w:p>
          <w:p>
            <w:pPr>
              <w:jc w:val="center"/>
              <w:rPr>
                <w:bCs/>
              </w:rPr>
            </w:pPr>
            <w:r>
              <w:rPr>
                <w:rFonts w:hint="eastAsia"/>
                <w:bCs/>
              </w:rPr>
              <w:t>成</w:t>
            </w:r>
          </w:p>
          <w:p>
            <w:pPr>
              <w:jc w:val="center"/>
              <w:rPr>
                <w:bCs/>
              </w:rPr>
            </w:pPr>
            <w:r>
              <w:rPr>
                <w:rFonts w:hint="eastAsia"/>
                <w:bCs/>
              </w:rPr>
              <w:t>员</w:t>
            </w:r>
          </w:p>
        </w:tc>
        <w:tc>
          <w:tcPr>
            <w:tcW w:w="1620" w:type="dxa"/>
            <w:gridSpan w:val="2"/>
            <w:tcBorders>
              <w:bottom w:val="nil"/>
            </w:tcBorders>
            <w:noWrap w:val="0"/>
            <w:vAlign w:val="center"/>
          </w:tcPr>
          <w:p>
            <w:pPr>
              <w:ind w:firstLine="210"/>
              <w:jc w:val="center"/>
              <w:rPr>
                <w:bCs/>
              </w:rPr>
            </w:pPr>
            <w:r>
              <w:rPr>
                <w:rFonts w:hint="eastAsia"/>
                <w:bCs/>
              </w:rPr>
              <w:t>姓</w:t>
            </w:r>
            <w:r>
              <w:rPr>
                <w:bCs/>
              </w:rPr>
              <w:t xml:space="preserve">  </w:t>
            </w:r>
            <w:r>
              <w:rPr>
                <w:rFonts w:hint="eastAsia"/>
                <w:bCs/>
              </w:rPr>
              <w:t>名</w:t>
            </w:r>
          </w:p>
        </w:tc>
        <w:tc>
          <w:tcPr>
            <w:tcW w:w="956" w:type="dxa"/>
            <w:noWrap w:val="0"/>
            <w:vAlign w:val="center"/>
          </w:tcPr>
          <w:p>
            <w:pPr>
              <w:jc w:val="center"/>
              <w:rPr>
                <w:bCs/>
              </w:rPr>
            </w:pPr>
            <w:r>
              <w:rPr>
                <w:rFonts w:hint="eastAsia"/>
                <w:bCs/>
              </w:rPr>
              <w:t>关</w:t>
            </w:r>
            <w:r>
              <w:rPr>
                <w:bCs/>
              </w:rPr>
              <w:t xml:space="preserve"> </w:t>
            </w:r>
            <w:r>
              <w:rPr>
                <w:rFonts w:hint="eastAsia"/>
                <w:bCs/>
              </w:rPr>
              <w:t>系</w:t>
            </w:r>
          </w:p>
        </w:tc>
        <w:tc>
          <w:tcPr>
            <w:tcW w:w="4444" w:type="dxa"/>
            <w:gridSpan w:val="4"/>
            <w:noWrap w:val="0"/>
            <w:vAlign w:val="center"/>
          </w:tcPr>
          <w:p>
            <w:pPr>
              <w:ind w:firstLine="33"/>
              <w:jc w:val="center"/>
              <w:rPr>
                <w:bCs/>
              </w:rPr>
            </w:pPr>
            <w:r>
              <w:rPr>
                <w:rFonts w:hint="eastAsia"/>
                <w:bCs/>
              </w:rPr>
              <w:t>工</w:t>
            </w:r>
            <w:r>
              <w:rPr>
                <w:bCs/>
              </w:rPr>
              <w:t xml:space="preserve">  </w:t>
            </w:r>
            <w:r>
              <w:rPr>
                <w:rFonts w:hint="eastAsia"/>
                <w:bCs/>
              </w:rPr>
              <w:t>作</w:t>
            </w:r>
            <w:r>
              <w:rPr>
                <w:bCs/>
              </w:rPr>
              <w:t xml:space="preserve">  </w:t>
            </w:r>
            <w:r>
              <w:rPr>
                <w:rFonts w:hint="eastAsia"/>
                <w:bCs/>
              </w:rPr>
              <w:t>单</w:t>
            </w:r>
            <w:r>
              <w:rPr>
                <w:bCs/>
              </w:rPr>
              <w:t xml:space="preserve">  </w:t>
            </w:r>
            <w:r>
              <w:rPr>
                <w:rFonts w:hint="eastAsia"/>
                <w:bCs/>
              </w:rPr>
              <w:t>位</w:t>
            </w:r>
          </w:p>
        </w:tc>
        <w:tc>
          <w:tcPr>
            <w:tcW w:w="900" w:type="dxa"/>
            <w:noWrap w:val="0"/>
            <w:vAlign w:val="center"/>
          </w:tcPr>
          <w:p>
            <w:pPr>
              <w:jc w:val="center"/>
              <w:rPr>
                <w:bCs/>
              </w:rPr>
            </w:pPr>
            <w:r>
              <w:rPr>
                <w:rFonts w:hint="eastAsia"/>
                <w:bCs/>
              </w:rPr>
              <w:t>职 务</w:t>
            </w:r>
          </w:p>
          <w:p>
            <w:pPr>
              <w:jc w:val="center"/>
              <w:rPr>
                <w:bCs/>
              </w:rPr>
            </w:pPr>
            <w:r>
              <w:rPr>
                <w:rFonts w:hint="eastAsia"/>
                <w:bCs/>
              </w:rPr>
              <w:t>职</w:t>
            </w:r>
            <w:r>
              <w:rPr>
                <w:bCs/>
              </w:rPr>
              <w:t xml:space="preserve"> </w:t>
            </w:r>
            <w:r>
              <w:rPr>
                <w:rFonts w:hint="eastAsia"/>
                <w:bCs/>
              </w:rPr>
              <w:t>称</w:t>
            </w:r>
          </w:p>
        </w:tc>
        <w:tc>
          <w:tcPr>
            <w:tcW w:w="1204" w:type="dxa"/>
            <w:noWrap w:val="0"/>
            <w:vAlign w:val="center"/>
          </w:tcPr>
          <w:p>
            <w:pPr>
              <w:jc w:val="center"/>
              <w:rPr>
                <w:bCs/>
              </w:rPr>
            </w:pPr>
            <w:r>
              <w:rPr>
                <w:rFonts w:hint="eastAsia"/>
                <w:bCs/>
              </w:rPr>
              <w:t>政治面貌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20" w:type="dxa"/>
            <w:vMerge w:val="continue"/>
            <w:noWrap w:val="0"/>
            <w:vAlign w:val="center"/>
          </w:tcPr>
          <w:p>
            <w:pPr>
              <w:jc w:val="center"/>
              <w:rPr>
                <w:bCs/>
              </w:rPr>
            </w:pPr>
          </w:p>
        </w:tc>
        <w:tc>
          <w:tcPr>
            <w:tcW w:w="1620" w:type="dxa"/>
            <w:gridSpan w:val="2"/>
            <w:noWrap w:val="0"/>
            <w:vAlign w:val="center"/>
          </w:tcPr>
          <w:p>
            <w:pPr>
              <w:jc w:val="center"/>
              <w:rPr>
                <w:bCs/>
              </w:rPr>
            </w:pPr>
          </w:p>
        </w:tc>
        <w:tc>
          <w:tcPr>
            <w:tcW w:w="956" w:type="dxa"/>
            <w:noWrap w:val="0"/>
            <w:vAlign w:val="center"/>
          </w:tcPr>
          <w:p>
            <w:pPr>
              <w:jc w:val="center"/>
              <w:rPr>
                <w:bCs/>
              </w:rPr>
            </w:pPr>
          </w:p>
        </w:tc>
        <w:tc>
          <w:tcPr>
            <w:tcW w:w="4444" w:type="dxa"/>
            <w:gridSpan w:val="4"/>
            <w:noWrap w:val="0"/>
            <w:vAlign w:val="center"/>
          </w:tcPr>
          <w:p>
            <w:pPr>
              <w:jc w:val="center"/>
              <w:rPr>
                <w:bCs/>
              </w:rPr>
            </w:pPr>
          </w:p>
        </w:tc>
        <w:tc>
          <w:tcPr>
            <w:tcW w:w="900" w:type="dxa"/>
            <w:noWrap w:val="0"/>
            <w:vAlign w:val="center"/>
          </w:tcPr>
          <w:p>
            <w:pPr>
              <w:jc w:val="center"/>
              <w:rPr>
                <w:bCs/>
              </w:rPr>
            </w:pPr>
          </w:p>
        </w:tc>
        <w:tc>
          <w:tcPr>
            <w:tcW w:w="1204" w:type="dxa"/>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720" w:type="dxa"/>
            <w:vMerge w:val="continue"/>
            <w:noWrap w:val="0"/>
            <w:vAlign w:val="center"/>
          </w:tcPr>
          <w:p>
            <w:pPr>
              <w:jc w:val="center"/>
              <w:rPr>
                <w:bCs/>
              </w:rPr>
            </w:pPr>
          </w:p>
        </w:tc>
        <w:tc>
          <w:tcPr>
            <w:tcW w:w="1620" w:type="dxa"/>
            <w:gridSpan w:val="2"/>
            <w:noWrap w:val="0"/>
            <w:vAlign w:val="center"/>
          </w:tcPr>
          <w:p>
            <w:pPr>
              <w:jc w:val="center"/>
              <w:rPr>
                <w:bCs/>
              </w:rPr>
            </w:pPr>
          </w:p>
        </w:tc>
        <w:tc>
          <w:tcPr>
            <w:tcW w:w="956" w:type="dxa"/>
            <w:noWrap w:val="0"/>
            <w:vAlign w:val="center"/>
          </w:tcPr>
          <w:p>
            <w:pPr>
              <w:jc w:val="center"/>
              <w:rPr>
                <w:bCs/>
              </w:rPr>
            </w:pPr>
          </w:p>
        </w:tc>
        <w:tc>
          <w:tcPr>
            <w:tcW w:w="4444" w:type="dxa"/>
            <w:gridSpan w:val="4"/>
            <w:noWrap w:val="0"/>
            <w:vAlign w:val="center"/>
          </w:tcPr>
          <w:p>
            <w:pPr>
              <w:jc w:val="center"/>
              <w:rPr>
                <w:bCs/>
              </w:rPr>
            </w:pPr>
          </w:p>
        </w:tc>
        <w:tc>
          <w:tcPr>
            <w:tcW w:w="900" w:type="dxa"/>
            <w:noWrap w:val="0"/>
            <w:vAlign w:val="center"/>
          </w:tcPr>
          <w:p>
            <w:pPr>
              <w:jc w:val="center"/>
              <w:rPr>
                <w:bCs/>
              </w:rPr>
            </w:pPr>
          </w:p>
        </w:tc>
        <w:tc>
          <w:tcPr>
            <w:tcW w:w="1204" w:type="dxa"/>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720" w:type="dxa"/>
            <w:vMerge w:val="continue"/>
            <w:noWrap w:val="0"/>
            <w:vAlign w:val="center"/>
          </w:tcPr>
          <w:p>
            <w:pPr>
              <w:jc w:val="center"/>
              <w:rPr>
                <w:bCs/>
              </w:rPr>
            </w:pPr>
          </w:p>
        </w:tc>
        <w:tc>
          <w:tcPr>
            <w:tcW w:w="1620" w:type="dxa"/>
            <w:gridSpan w:val="2"/>
            <w:noWrap w:val="0"/>
            <w:vAlign w:val="center"/>
          </w:tcPr>
          <w:p>
            <w:pPr>
              <w:jc w:val="center"/>
              <w:rPr>
                <w:bCs/>
              </w:rPr>
            </w:pPr>
          </w:p>
        </w:tc>
        <w:tc>
          <w:tcPr>
            <w:tcW w:w="956" w:type="dxa"/>
            <w:noWrap w:val="0"/>
            <w:vAlign w:val="center"/>
          </w:tcPr>
          <w:p>
            <w:pPr>
              <w:jc w:val="center"/>
              <w:rPr>
                <w:bCs/>
              </w:rPr>
            </w:pPr>
          </w:p>
        </w:tc>
        <w:tc>
          <w:tcPr>
            <w:tcW w:w="4444" w:type="dxa"/>
            <w:gridSpan w:val="4"/>
            <w:noWrap w:val="0"/>
            <w:vAlign w:val="center"/>
          </w:tcPr>
          <w:p>
            <w:pPr>
              <w:jc w:val="center"/>
              <w:rPr>
                <w:bCs/>
              </w:rPr>
            </w:pPr>
          </w:p>
        </w:tc>
        <w:tc>
          <w:tcPr>
            <w:tcW w:w="900" w:type="dxa"/>
            <w:noWrap w:val="0"/>
            <w:vAlign w:val="center"/>
          </w:tcPr>
          <w:p>
            <w:pPr>
              <w:jc w:val="center"/>
              <w:rPr>
                <w:bCs/>
              </w:rPr>
            </w:pPr>
          </w:p>
        </w:tc>
        <w:tc>
          <w:tcPr>
            <w:tcW w:w="1204" w:type="dxa"/>
            <w:noWrap w:val="0"/>
            <w:vAlign w:val="center"/>
          </w:tcPr>
          <w:p>
            <w:pPr>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2340" w:type="dxa"/>
            <w:gridSpan w:val="3"/>
            <w:noWrap w:val="0"/>
            <w:vAlign w:val="center"/>
          </w:tcPr>
          <w:p>
            <w:pPr>
              <w:jc w:val="center"/>
              <w:rPr>
                <w:bCs/>
              </w:rPr>
            </w:pPr>
            <w:r>
              <w:rPr>
                <w:rFonts w:hint="eastAsia"/>
                <w:bCs/>
              </w:rPr>
              <w:t>受过何种奖励</w:t>
            </w:r>
          </w:p>
          <w:p>
            <w:pPr>
              <w:jc w:val="center"/>
              <w:rPr>
                <w:bCs/>
              </w:rPr>
            </w:pPr>
            <w:r>
              <w:rPr>
                <w:rFonts w:hint="eastAsia"/>
                <w:bCs/>
              </w:rPr>
              <w:t>或处分</w:t>
            </w:r>
          </w:p>
        </w:tc>
        <w:tc>
          <w:tcPr>
            <w:tcW w:w="7504" w:type="dxa"/>
            <w:gridSpan w:val="7"/>
            <w:noWrap w:val="0"/>
            <w:vAlign w:val="top"/>
          </w:tcPr>
          <w:p>
            <w:pP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2340" w:type="dxa"/>
            <w:gridSpan w:val="3"/>
            <w:noWrap w:val="0"/>
            <w:vAlign w:val="center"/>
          </w:tcPr>
          <w:p>
            <w:pPr>
              <w:jc w:val="center"/>
              <w:rPr>
                <w:bCs/>
              </w:rPr>
            </w:pPr>
            <w:r>
              <w:rPr>
                <w:rFonts w:hint="eastAsia"/>
                <w:bCs/>
              </w:rPr>
              <w:t>是否担任过</w:t>
            </w:r>
          </w:p>
          <w:p>
            <w:pPr>
              <w:jc w:val="center"/>
              <w:rPr>
                <w:bCs/>
              </w:rPr>
            </w:pPr>
            <w:r>
              <w:rPr>
                <w:rFonts w:hint="eastAsia"/>
                <w:bCs/>
              </w:rPr>
              <w:t>党团、班干部，任何职</w:t>
            </w:r>
          </w:p>
        </w:tc>
        <w:tc>
          <w:tcPr>
            <w:tcW w:w="7504" w:type="dxa"/>
            <w:gridSpan w:val="7"/>
            <w:noWrap w:val="0"/>
            <w:vAlign w:val="top"/>
          </w:tcPr>
          <w:p>
            <w:pP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6" w:hRule="atLeast"/>
          <w:jc w:val="center"/>
        </w:trPr>
        <w:tc>
          <w:tcPr>
            <w:tcW w:w="720" w:type="dxa"/>
            <w:noWrap w:val="0"/>
            <w:vAlign w:val="center"/>
          </w:tcPr>
          <w:p>
            <w:pPr>
              <w:jc w:val="center"/>
              <w:rPr>
                <w:bCs/>
              </w:rPr>
            </w:pPr>
            <w:r>
              <w:rPr>
                <w:rFonts w:hint="eastAsia"/>
                <w:bCs/>
              </w:rPr>
              <w:t>本</w:t>
            </w:r>
          </w:p>
          <w:p>
            <w:pPr>
              <w:jc w:val="center"/>
              <w:rPr>
                <w:bCs/>
              </w:rPr>
            </w:pPr>
            <w:r>
              <w:rPr>
                <w:rFonts w:hint="eastAsia"/>
                <w:bCs/>
              </w:rPr>
              <w:t>人</w:t>
            </w:r>
          </w:p>
          <w:p>
            <w:pPr>
              <w:jc w:val="center"/>
              <w:rPr>
                <w:bCs/>
              </w:rPr>
            </w:pPr>
            <w:r>
              <w:rPr>
                <w:rFonts w:hint="eastAsia"/>
                <w:bCs/>
              </w:rPr>
              <w:t>政</w:t>
            </w:r>
          </w:p>
          <w:p>
            <w:pPr>
              <w:jc w:val="center"/>
              <w:rPr>
                <w:bCs/>
              </w:rPr>
            </w:pPr>
            <w:r>
              <w:rPr>
                <w:rFonts w:hint="eastAsia"/>
                <w:bCs/>
              </w:rPr>
              <w:t>治</w:t>
            </w:r>
          </w:p>
          <w:p>
            <w:pPr>
              <w:jc w:val="center"/>
              <w:rPr>
                <w:bCs/>
              </w:rPr>
            </w:pPr>
            <w:r>
              <w:rPr>
                <w:rFonts w:hint="eastAsia"/>
                <w:bCs/>
              </w:rPr>
              <w:t>表</w:t>
            </w:r>
          </w:p>
          <w:p>
            <w:pPr>
              <w:jc w:val="center"/>
              <w:rPr>
                <w:bCs/>
              </w:rPr>
            </w:pPr>
            <w:r>
              <w:rPr>
                <w:rFonts w:hint="eastAsia"/>
                <w:bCs/>
              </w:rPr>
              <w:t>现</w:t>
            </w:r>
          </w:p>
        </w:tc>
        <w:tc>
          <w:tcPr>
            <w:tcW w:w="9124" w:type="dxa"/>
            <w:gridSpan w:val="9"/>
            <w:noWrap w:val="0"/>
            <w:vAlign w:val="top"/>
          </w:tcPr>
          <w:p>
            <w:pPr>
              <w:rPr>
                <w:bCs/>
              </w:rPr>
            </w:pPr>
          </w:p>
          <w:p>
            <w:pPr>
              <w:rPr>
                <w:bCs/>
              </w:rPr>
            </w:pPr>
          </w:p>
          <w:p>
            <w:pPr>
              <w:rPr>
                <w:bCs/>
              </w:rPr>
            </w:pPr>
          </w:p>
          <w:p>
            <w:pPr>
              <w:rPr>
                <w:bCs/>
              </w:rPr>
            </w:pPr>
          </w:p>
          <w:p>
            <w:pPr>
              <w:rPr>
                <w:bCs/>
              </w:rPr>
            </w:pPr>
          </w:p>
          <w:p>
            <w:pPr>
              <w:ind w:right="420" w:firstLine="5985" w:firstLineChars="2850"/>
              <w:rPr>
                <w:bCs/>
              </w:rPr>
            </w:pPr>
            <w:r>
              <w:rPr>
                <w:rFonts w:hint="eastAsia"/>
                <w:bCs/>
              </w:rPr>
              <w:t>本人签名：</w:t>
            </w:r>
          </w:p>
          <w:p>
            <w:pPr>
              <w:ind w:right="420" w:firstLine="6930" w:firstLineChars="3300"/>
              <w:rPr>
                <w:bCs/>
              </w:rPr>
            </w:pPr>
            <w:r>
              <w:rPr>
                <w:rFonts w:hint="eastAsia"/>
                <w:bCs/>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22" w:hRule="atLeast"/>
          <w:jc w:val="center"/>
        </w:trPr>
        <w:tc>
          <w:tcPr>
            <w:tcW w:w="720" w:type="dxa"/>
            <w:noWrap w:val="0"/>
            <w:vAlign w:val="center"/>
          </w:tcPr>
          <w:p>
            <w:pPr>
              <w:jc w:val="center"/>
              <w:rPr>
                <w:bCs/>
              </w:rPr>
            </w:pPr>
            <w:r>
              <w:rPr>
                <w:rFonts w:hint="eastAsia"/>
                <w:bCs/>
              </w:rPr>
              <w:t>考</w:t>
            </w:r>
          </w:p>
          <w:p>
            <w:pPr>
              <w:jc w:val="center"/>
              <w:rPr>
                <w:bCs/>
              </w:rPr>
            </w:pPr>
            <w:r>
              <w:rPr>
                <w:rFonts w:hint="eastAsia"/>
                <w:bCs/>
              </w:rPr>
              <w:t>生</w:t>
            </w:r>
          </w:p>
          <w:p>
            <w:pPr>
              <w:jc w:val="center"/>
              <w:rPr>
                <w:bCs/>
              </w:rPr>
            </w:pPr>
            <w:r>
              <w:rPr>
                <w:rFonts w:hint="eastAsia"/>
                <w:bCs/>
              </w:rPr>
              <w:t>所</w:t>
            </w:r>
          </w:p>
          <w:p>
            <w:pPr>
              <w:jc w:val="center"/>
              <w:rPr>
                <w:bCs/>
              </w:rPr>
            </w:pPr>
            <w:r>
              <w:rPr>
                <w:rFonts w:hint="eastAsia"/>
                <w:bCs/>
              </w:rPr>
              <w:t>在</w:t>
            </w:r>
          </w:p>
          <w:p>
            <w:pPr>
              <w:jc w:val="center"/>
              <w:rPr>
                <w:bCs/>
              </w:rPr>
            </w:pPr>
            <w:r>
              <w:rPr>
                <w:rFonts w:hint="eastAsia"/>
                <w:bCs/>
              </w:rPr>
              <w:t>单</w:t>
            </w:r>
          </w:p>
          <w:p>
            <w:pPr>
              <w:jc w:val="center"/>
              <w:rPr>
                <w:bCs/>
              </w:rPr>
            </w:pPr>
            <w:r>
              <w:rPr>
                <w:rFonts w:hint="eastAsia"/>
                <w:bCs/>
              </w:rPr>
              <w:t>位</w:t>
            </w:r>
          </w:p>
          <w:p>
            <w:pPr>
              <w:jc w:val="center"/>
              <w:rPr>
                <w:bCs/>
              </w:rPr>
            </w:pPr>
            <w:r>
              <w:rPr>
                <w:rFonts w:hint="eastAsia"/>
                <w:bCs/>
              </w:rPr>
              <w:t>政</w:t>
            </w:r>
          </w:p>
          <w:p>
            <w:pPr>
              <w:jc w:val="center"/>
              <w:rPr>
                <w:bCs/>
              </w:rPr>
            </w:pPr>
            <w:r>
              <w:rPr>
                <w:rFonts w:hint="eastAsia"/>
                <w:bCs/>
              </w:rPr>
              <w:t>审</w:t>
            </w:r>
          </w:p>
          <w:p>
            <w:pPr>
              <w:jc w:val="center"/>
              <w:rPr>
                <w:bCs/>
              </w:rPr>
            </w:pPr>
            <w:r>
              <w:rPr>
                <w:rFonts w:hint="eastAsia"/>
                <w:bCs/>
              </w:rPr>
              <w:t>意</w:t>
            </w:r>
          </w:p>
          <w:p>
            <w:pPr>
              <w:jc w:val="center"/>
              <w:rPr>
                <w:bCs/>
              </w:rPr>
            </w:pPr>
            <w:r>
              <w:rPr>
                <w:rFonts w:hint="eastAsia"/>
                <w:bCs/>
              </w:rPr>
              <w:t>见</w:t>
            </w:r>
          </w:p>
        </w:tc>
        <w:tc>
          <w:tcPr>
            <w:tcW w:w="9124" w:type="dxa"/>
            <w:gridSpan w:val="9"/>
            <w:noWrap w:val="0"/>
            <w:vAlign w:val="top"/>
          </w:tcPr>
          <w:p>
            <w:pPr>
              <w:rPr>
                <w:bCs/>
              </w:rPr>
            </w:pPr>
          </w:p>
          <w:p>
            <w:pPr>
              <w:rPr>
                <w:bCs/>
              </w:rPr>
            </w:pPr>
          </w:p>
          <w:p>
            <w:pPr>
              <w:rPr>
                <w:bCs/>
              </w:rPr>
            </w:pPr>
          </w:p>
          <w:p>
            <w:pPr>
              <w:rPr>
                <w:bCs/>
              </w:rPr>
            </w:pPr>
          </w:p>
          <w:p>
            <w:pPr>
              <w:rPr>
                <w:bCs/>
              </w:rPr>
            </w:pPr>
          </w:p>
          <w:p>
            <w:pPr>
              <w:ind w:firstLine="6148" w:firstLineChars="2928"/>
              <w:rPr>
                <w:bCs/>
              </w:rPr>
            </w:pPr>
          </w:p>
          <w:p>
            <w:pPr>
              <w:ind w:firstLine="6148" w:firstLineChars="2928"/>
              <w:rPr>
                <w:bCs/>
              </w:rPr>
            </w:pPr>
          </w:p>
          <w:p>
            <w:pPr>
              <w:ind w:firstLine="6148" w:firstLineChars="2928"/>
              <w:rPr>
                <w:bCs/>
              </w:rPr>
            </w:pPr>
          </w:p>
          <w:p>
            <w:pPr>
              <w:ind w:firstLine="6148" w:firstLineChars="2928"/>
              <w:rPr>
                <w:bCs/>
              </w:rPr>
            </w:pPr>
            <w:r>
              <w:rPr>
                <w:rFonts w:hint="eastAsia"/>
                <w:bCs/>
              </w:rPr>
              <w:t xml:space="preserve">单位盖章 </w:t>
            </w:r>
          </w:p>
          <w:p>
            <w:pPr>
              <w:ind w:firstLine="7035" w:firstLineChars="3350"/>
              <w:rPr>
                <w:bCs/>
              </w:rPr>
            </w:pPr>
            <w:r>
              <w:rPr>
                <w:rFonts w:hint="eastAsia"/>
                <w:bCs/>
              </w:rPr>
              <w:t>年    月    日</w:t>
            </w:r>
          </w:p>
        </w:tc>
      </w:tr>
    </w:tbl>
    <w:p>
      <w:pPr>
        <w:pStyle w:val="4"/>
        <w:spacing w:beforeAutospacing="0" w:afterAutospacing="0" w:line="540" w:lineRule="exact"/>
        <w:jc w:val="both"/>
        <w:rPr>
          <w:rFonts w:ascii="Times New Roman" w:hAnsi="Times New Roman" w:eastAsia="仿宋_GB2312"/>
          <w:sz w:val="32"/>
          <w:szCs w:val="32"/>
        </w:rPr>
      </w:pPr>
      <w:r>
        <w:rPr>
          <w:rFonts w:hint="eastAsia"/>
          <w:b/>
          <w:bCs/>
        </w:rPr>
        <w:t>注：请如实填写，如发现有弄虚作假舞弊行为，一经查实，取消入学资格。</w:t>
      </w:r>
    </w:p>
    <w:p>
      <w:pPr>
        <w:pStyle w:val="4"/>
        <w:spacing w:beforeAutospacing="0" w:afterAutospacing="0" w:line="540" w:lineRule="exact"/>
        <w:jc w:val="both"/>
        <w:rPr>
          <w:rFonts w:ascii="Times New Roman" w:hAnsi="Times New Roman" w:eastAsia="仿宋_GB2312"/>
          <w:sz w:val="32"/>
          <w:szCs w:val="32"/>
        </w:rPr>
      </w:pPr>
      <w:r>
        <w:rPr>
          <w:rFonts w:hint="eastAsia" w:ascii="Times New Roman" w:hAnsi="Times New Roman" w:eastAsia="仿宋_GB2312"/>
          <w:sz w:val="32"/>
          <w:szCs w:val="32"/>
        </w:rPr>
        <w:t>附件2：</w:t>
      </w:r>
    </w:p>
    <w:p>
      <w:pPr>
        <w:pStyle w:val="4"/>
        <w:spacing w:beforeLines="50" w:beforeAutospacing="0" w:afterLines="100" w:afterAutospacing="0" w:line="540" w:lineRule="exact"/>
        <w:jc w:val="center"/>
        <w:rPr>
          <w:rFonts w:ascii="黑体" w:hAnsi="黑体" w:eastAsia="黑体"/>
          <w:sz w:val="44"/>
          <w:szCs w:val="44"/>
        </w:rPr>
      </w:pPr>
      <w:r>
        <w:rPr>
          <w:rFonts w:ascii="黑体" w:hAnsi="黑体" w:eastAsia="黑体"/>
          <w:sz w:val="44"/>
          <w:szCs w:val="44"/>
        </w:rPr>
        <w:t>诚信复试承诺书</w:t>
      </w:r>
    </w:p>
    <w:p>
      <w:pPr>
        <w:snapToGrid w:val="0"/>
        <w:spacing w:line="460" w:lineRule="exact"/>
        <w:ind w:firstLine="600" w:firstLineChars="200"/>
        <w:rPr>
          <w:rFonts w:ascii="仿宋" w:hAnsi="仿宋" w:eastAsia="仿宋"/>
          <w:sz w:val="30"/>
          <w:szCs w:val="30"/>
        </w:rPr>
      </w:pPr>
      <w:r>
        <w:rPr>
          <w:rFonts w:hint="eastAsia" w:ascii="仿宋" w:hAnsi="仿宋" w:eastAsia="仿宋"/>
          <w:sz w:val="30"/>
          <w:szCs w:val="30"/>
        </w:rPr>
        <w:t>我是参加202</w:t>
      </w:r>
      <w:r>
        <w:rPr>
          <w:rFonts w:hint="eastAsia" w:ascii="仿宋" w:hAnsi="仿宋" w:eastAsia="仿宋"/>
          <w:sz w:val="30"/>
          <w:szCs w:val="30"/>
          <w:lang w:val="en-US" w:eastAsia="zh-CN"/>
        </w:rPr>
        <w:t>4</w:t>
      </w:r>
      <w:r>
        <w:rPr>
          <w:rFonts w:hint="eastAsia" w:ascii="仿宋" w:hAnsi="仿宋" w:eastAsia="仿宋"/>
          <w:sz w:val="30"/>
          <w:szCs w:val="30"/>
        </w:rPr>
        <w:t>年全国硕士研究生招生考试的考生。我已认真阅读《202</w:t>
      </w:r>
      <w:r>
        <w:rPr>
          <w:rFonts w:hint="eastAsia" w:ascii="仿宋" w:hAnsi="仿宋" w:eastAsia="仿宋"/>
          <w:sz w:val="30"/>
          <w:szCs w:val="30"/>
          <w:lang w:val="en-US" w:eastAsia="zh-CN"/>
        </w:rPr>
        <w:t>4</w:t>
      </w:r>
      <w:r>
        <w:rPr>
          <w:rFonts w:hint="eastAsia" w:ascii="仿宋" w:hAnsi="仿宋" w:eastAsia="仿宋"/>
          <w:sz w:val="30"/>
          <w:szCs w:val="30"/>
        </w:rPr>
        <w:t>年全国硕士研究生招生工作管理规定》、《国家教育考试违规处理办法》以及省级教育招生考试机构和招生单位发布的相关招考信息。我已清楚了解，根据《中华人民共和国刑法修正案（九）》，</w:t>
      </w:r>
      <w:r>
        <w:rPr>
          <w:rFonts w:hint="eastAsia" w:ascii="仿宋" w:hAnsi="仿宋" w:eastAsia="仿宋"/>
          <w:b/>
          <w:sz w:val="30"/>
          <w:szCs w:val="30"/>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napToGrid w:val="0"/>
        <w:spacing w:beforeLines="50" w:line="460" w:lineRule="exact"/>
        <w:ind w:firstLine="602" w:firstLineChars="200"/>
        <w:rPr>
          <w:rFonts w:ascii="仿宋" w:hAnsi="仿宋" w:eastAsia="仿宋"/>
          <w:b/>
          <w:sz w:val="30"/>
          <w:szCs w:val="30"/>
        </w:rPr>
      </w:pPr>
      <w:r>
        <w:rPr>
          <w:rFonts w:hint="eastAsia" w:ascii="仿宋" w:hAnsi="仿宋" w:eastAsia="仿宋"/>
          <w:b/>
          <w:sz w:val="30"/>
          <w:szCs w:val="30"/>
        </w:rPr>
        <w:t>我郑重承诺：</w:t>
      </w:r>
    </w:p>
    <w:p>
      <w:pPr>
        <w:snapToGrid w:val="0"/>
        <w:spacing w:line="460" w:lineRule="exact"/>
        <w:ind w:firstLine="600" w:firstLineChars="200"/>
        <w:rPr>
          <w:rFonts w:ascii="仿宋" w:hAnsi="仿宋" w:eastAsia="仿宋"/>
          <w:sz w:val="30"/>
          <w:szCs w:val="30"/>
        </w:rPr>
      </w:pPr>
      <w:r>
        <w:rPr>
          <w:rFonts w:hint="eastAsia" w:ascii="仿宋" w:hAnsi="仿宋" w:eastAsia="仿宋"/>
          <w:sz w:val="30"/>
          <w:szCs w:val="30"/>
        </w:rPr>
        <w:t>一、保证在上传复试材料、参加复试的过程中，如实、准确提交复试材料，如提供虚假、错误信息或弄虚作假，本人承担由此造成的一切后果。</w:t>
      </w:r>
    </w:p>
    <w:p>
      <w:pPr>
        <w:snapToGrid w:val="0"/>
        <w:spacing w:line="460" w:lineRule="exact"/>
        <w:ind w:firstLine="600" w:firstLineChars="200"/>
        <w:rPr>
          <w:rFonts w:ascii="仿宋" w:hAnsi="仿宋" w:eastAsia="仿宋"/>
          <w:sz w:val="30"/>
          <w:szCs w:val="30"/>
        </w:rPr>
      </w:pPr>
      <w:r>
        <w:rPr>
          <w:rFonts w:hint="eastAsia" w:ascii="仿宋" w:hAnsi="仿宋" w:eastAsia="仿宋"/>
          <w:sz w:val="30"/>
          <w:szCs w:val="30"/>
        </w:rPr>
        <w:t>二、自觉服从江西科技师范大学及其各学学院（部）的统一安排，接受监考人员的管理、监督和检查。</w:t>
      </w:r>
    </w:p>
    <w:p>
      <w:pPr>
        <w:snapToGrid w:val="0"/>
        <w:spacing w:line="460" w:lineRule="exact"/>
        <w:ind w:firstLine="600" w:firstLineChars="200"/>
        <w:rPr>
          <w:rFonts w:ascii="仿宋" w:hAnsi="仿宋" w:eastAsia="仿宋"/>
          <w:sz w:val="30"/>
          <w:szCs w:val="30"/>
        </w:rPr>
      </w:pPr>
      <w:r>
        <w:rPr>
          <w:rFonts w:hint="eastAsia" w:ascii="仿宋" w:hAnsi="仿宋" w:eastAsia="仿宋"/>
          <w:sz w:val="30"/>
          <w:szCs w:val="30"/>
        </w:rPr>
        <w:t>三、自觉遵守相关法律和考试纪律，诚信复试。</w:t>
      </w:r>
    </w:p>
    <w:p>
      <w:pPr>
        <w:snapToGrid w:val="0"/>
        <w:spacing w:line="460" w:lineRule="exact"/>
        <w:ind w:firstLine="600" w:firstLineChars="200"/>
        <w:rPr>
          <w:rFonts w:hint="eastAsia" w:ascii="仿宋" w:hAnsi="仿宋" w:eastAsia="仿宋"/>
          <w:sz w:val="30"/>
          <w:szCs w:val="30"/>
        </w:rPr>
      </w:pPr>
      <w:r>
        <w:rPr>
          <w:rFonts w:hint="eastAsia" w:ascii="仿宋" w:hAnsi="仿宋" w:eastAsia="仿宋"/>
          <w:sz w:val="30"/>
          <w:szCs w:val="30"/>
        </w:rPr>
        <w:t>四、参加复试的过程中，不进行拍照、截屏、录音录像、网络直播等记录分享动作，在学校</w:t>
      </w:r>
      <w:r>
        <w:rPr>
          <w:rFonts w:ascii="仿宋" w:hAnsi="仿宋" w:eastAsia="仿宋"/>
          <w:sz w:val="30"/>
          <w:szCs w:val="30"/>
        </w:rPr>
        <w:t>全部</w:t>
      </w:r>
      <w:r>
        <w:rPr>
          <w:rFonts w:hint="eastAsia" w:ascii="仿宋" w:hAnsi="仿宋" w:eastAsia="仿宋"/>
          <w:sz w:val="30"/>
          <w:szCs w:val="30"/>
        </w:rPr>
        <w:t>复试工作(含</w:t>
      </w:r>
      <w:r>
        <w:rPr>
          <w:rFonts w:ascii="仿宋" w:hAnsi="仿宋" w:eastAsia="仿宋"/>
          <w:sz w:val="30"/>
          <w:szCs w:val="30"/>
        </w:rPr>
        <w:t>调剂</w:t>
      </w:r>
      <w:r>
        <w:rPr>
          <w:rFonts w:hint="eastAsia" w:ascii="仿宋" w:hAnsi="仿宋" w:eastAsia="仿宋"/>
          <w:sz w:val="30"/>
          <w:szCs w:val="30"/>
        </w:rPr>
        <w:t>)结束前不对外透漏或传播复试试题内容等有关情况。</w:t>
      </w:r>
    </w:p>
    <w:p>
      <w:pPr>
        <w:snapToGrid w:val="0"/>
        <w:spacing w:line="460" w:lineRule="exact"/>
        <w:ind w:firstLine="600" w:firstLineChars="200"/>
        <w:rPr>
          <w:rFonts w:hint="eastAsia" w:ascii="仿宋" w:hAnsi="仿宋" w:eastAsia="仿宋"/>
          <w:sz w:val="30"/>
          <w:szCs w:val="30"/>
        </w:rPr>
      </w:pPr>
      <w:r>
        <w:rPr>
          <w:rFonts w:hint="eastAsia" w:ascii="仿宋" w:hAnsi="仿宋" w:eastAsia="仿宋"/>
          <w:sz w:val="30"/>
          <w:szCs w:val="30"/>
        </w:rPr>
        <w:t>在复试过程中存在违规行为的考生，一经查实，即按照《国家教育考试违规处理办法》、《普通高等学校招生违规行为处理暂行办法》等规定严肃处理，取消录取资格，记入《考生考试诚信档案》。</w:t>
      </w:r>
    </w:p>
    <w:p>
      <w:pPr>
        <w:snapToGrid w:val="0"/>
        <w:spacing w:beforeLines="100" w:line="460" w:lineRule="exact"/>
        <w:ind w:right="601" w:firstLine="4251" w:firstLineChars="1417"/>
        <w:rPr>
          <w:rFonts w:hint="eastAsia" w:ascii="仿宋" w:hAnsi="仿宋" w:eastAsia="仿宋"/>
          <w:sz w:val="30"/>
          <w:szCs w:val="30"/>
        </w:rPr>
      </w:pPr>
      <w:r>
        <w:rPr>
          <w:rFonts w:hint="eastAsia" w:ascii="仿宋" w:hAnsi="仿宋" w:eastAsia="仿宋"/>
          <w:sz w:val="30"/>
          <w:szCs w:val="30"/>
        </w:rPr>
        <w:t>承诺人（签名）：</w:t>
      </w:r>
    </w:p>
    <w:p>
      <w:pPr>
        <w:snapToGrid w:val="0"/>
        <w:spacing w:beforeLines="100" w:line="460" w:lineRule="exact"/>
        <w:ind w:right="601" w:firstLine="4251" w:firstLineChars="1417"/>
        <w:rPr>
          <w:rFonts w:ascii="仿宋" w:hAnsi="仿宋" w:eastAsia="仿宋" w:cs="仿宋"/>
          <w:sz w:val="28"/>
          <w:szCs w:val="28"/>
        </w:rPr>
      </w:pPr>
      <w:r>
        <w:rPr>
          <w:rFonts w:hint="eastAsia" w:ascii="仿宋" w:hAnsi="仿宋" w:eastAsia="仿宋"/>
          <w:sz w:val="30"/>
          <w:szCs w:val="30"/>
        </w:rPr>
        <w:t>年   月   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U4M2UyOWVlNjZjZTNjNWY1YzdjZWFmZmY4ODJlNDIifQ=="/>
  </w:docVars>
  <w:rsids>
    <w:rsidRoot w:val="00172A27"/>
    <w:rsid w:val="000012DC"/>
    <w:rsid w:val="000048F8"/>
    <w:rsid w:val="0000523D"/>
    <w:rsid w:val="00005A45"/>
    <w:rsid w:val="0003100C"/>
    <w:rsid w:val="000A0CBA"/>
    <w:rsid w:val="000A21DD"/>
    <w:rsid w:val="000E18DC"/>
    <w:rsid w:val="000F4249"/>
    <w:rsid w:val="00102BE6"/>
    <w:rsid w:val="001103C4"/>
    <w:rsid w:val="0011388C"/>
    <w:rsid w:val="00117891"/>
    <w:rsid w:val="001266B6"/>
    <w:rsid w:val="00151872"/>
    <w:rsid w:val="00172A27"/>
    <w:rsid w:val="00174652"/>
    <w:rsid w:val="001826CE"/>
    <w:rsid w:val="001B46FE"/>
    <w:rsid w:val="001D312E"/>
    <w:rsid w:val="001D3583"/>
    <w:rsid w:val="001E2E20"/>
    <w:rsid w:val="001F00A2"/>
    <w:rsid w:val="001F65B3"/>
    <w:rsid w:val="00200F07"/>
    <w:rsid w:val="00207852"/>
    <w:rsid w:val="0022265A"/>
    <w:rsid w:val="00261ADC"/>
    <w:rsid w:val="0028324E"/>
    <w:rsid w:val="002B5156"/>
    <w:rsid w:val="002F7DC5"/>
    <w:rsid w:val="00307113"/>
    <w:rsid w:val="00320558"/>
    <w:rsid w:val="00372936"/>
    <w:rsid w:val="003762D3"/>
    <w:rsid w:val="003A2FD2"/>
    <w:rsid w:val="003B6A1F"/>
    <w:rsid w:val="003C00DE"/>
    <w:rsid w:val="003D0C4D"/>
    <w:rsid w:val="003E34DE"/>
    <w:rsid w:val="003E5346"/>
    <w:rsid w:val="0042683D"/>
    <w:rsid w:val="00430B9F"/>
    <w:rsid w:val="00476C15"/>
    <w:rsid w:val="004A1060"/>
    <w:rsid w:val="004B71AB"/>
    <w:rsid w:val="004D34E1"/>
    <w:rsid w:val="004F72C5"/>
    <w:rsid w:val="00514847"/>
    <w:rsid w:val="0053020C"/>
    <w:rsid w:val="00575C34"/>
    <w:rsid w:val="00576658"/>
    <w:rsid w:val="00580F73"/>
    <w:rsid w:val="005A5A75"/>
    <w:rsid w:val="005D57A3"/>
    <w:rsid w:val="005E6396"/>
    <w:rsid w:val="006034E1"/>
    <w:rsid w:val="00654D83"/>
    <w:rsid w:val="00655FC4"/>
    <w:rsid w:val="006741A3"/>
    <w:rsid w:val="006B6B42"/>
    <w:rsid w:val="006C4A0A"/>
    <w:rsid w:val="006C6249"/>
    <w:rsid w:val="006F2C12"/>
    <w:rsid w:val="00715821"/>
    <w:rsid w:val="00736254"/>
    <w:rsid w:val="00770BA9"/>
    <w:rsid w:val="0077500F"/>
    <w:rsid w:val="007758E5"/>
    <w:rsid w:val="007929B4"/>
    <w:rsid w:val="00792FA1"/>
    <w:rsid w:val="007A4D03"/>
    <w:rsid w:val="007C6C1B"/>
    <w:rsid w:val="007F64FD"/>
    <w:rsid w:val="0081799E"/>
    <w:rsid w:val="00844A87"/>
    <w:rsid w:val="008A12AA"/>
    <w:rsid w:val="008A641E"/>
    <w:rsid w:val="008D1B21"/>
    <w:rsid w:val="008F2021"/>
    <w:rsid w:val="00922816"/>
    <w:rsid w:val="00931540"/>
    <w:rsid w:val="00980183"/>
    <w:rsid w:val="00994A84"/>
    <w:rsid w:val="009970B8"/>
    <w:rsid w:val="009A182F"/>
    <w:rsid w:val="009B0511"/>
    <w:rsid w:val="009C382D"/>
    <w:rsid w:val="009C5C37"/>
    <w:rsid w:val="00A00876"/>
    <w:rsid w:val="00A3480A"/>
    <w:rsid w:val="00A67D58"/>
    <w:rsid w:val="00A91522"/>
    <w:rsid w:val="00AC41F8"/>
    <w:rsid w:val="00AE7A5E"/>
    <w:rsid w:val="00AF4C9F"/>
    <w:rsid w:val="00AF7963"/>
    <w:rsid w:val="00B524E7"/>
    <w:rsid w:val="00B729A0"/>
    <w:rsid w:val="00B915FB"/>
    <w:rsid w:val="00B97767"/>
    <w:rsid w:val="00BC13C4"/>
    <w:rsid w:val="00BC2411"/>
    <w:rsid w:val="00BC7B4D"/>
    <w:rsid w:val="00C10E6C"/>
    <w:rsid w:val="00C24697"/>
    <w:rsid w:val="00C4483D"/>
    <w:rsid w:val="00CA7D67"/>
    <w:rsid w:val="00CC6EB1"/>
    <w:rsid w:val="00CF2499"/>
    <w:rsid w:val="00D17B6A"/>
    <w:rsid w:val="00D41528"/>
    <w:rsid w:val="00D622FA"/>
    <w:rsid w:val="00DA4B4A"/>
    <w:rsid w:val="00DB3E33"/>
    <w:rsid w:val="00DC5C03"/>
    <w:rsid w:val="00DD6534"/>
    <w:rsid w:val="00DE1AAC"/>
    <w:rsid w:val="00DE5CFD"/>
    <w:rsid w:val="00DF60A6"/>
    <w:rsid w:val="00E1384D"/>
    <w:rsid w:val="00E23CE6"/>
    <w:rsid w:val="00E64C8E"/>
    <w:rsid w:val="00E7654D"/>
    <w:rsid w:val="00E80353"/>
    <w:rsid w:val="00E857B7"/>
    <w:rsid w:val="00F04D36"/>
    <w:rsid w:val="00F2078F"/>
    <w:rsid w:val="00F27B8F"/>
    <w:rsid w:val="00F33D0E"/>
    <w:rsid w:val="00F45912"/>
    <w:rsid w:val="00F45D49"/>
    <w:rsid w:val="00FA4F71"/>
    <w:rsid w:val="00FA5AF0"/>
    <w:rsid w:val="00FA7C6D"/>
    <w:rsid w:val="01763C14"/>
    <w:rsid w:val="01BB7314"/>
    <w:rsid w:val="01E85945"/>
    <w:rsid w:val="042E0DB9"/>
    <w:rsid w:val="04310280"/>
    <w:rsid w:val="04C20CBB"/>
    <w:rsid w:val="053C7612"/>
    <w:rsid w:val="05856AD5"/>
    <w:rsid w:val="05976809"/>
    <w:rsid w:val="061B2F96"/>
    <w:rsid w:val="06C92C46"/>
    <w:rsid w:val="07267C1B"/>
    <w:rsid w:val="07726A81"/>
    <w:rsid w:val="079E79DA"/>
    <w:rsid w:val="07A019A5"/>
    <w:rsid w:val="07A24F5D"/>
    <w:rsid w:val="081B727D"/>
    <w:rsid w:val="09110E74"/>
    <w:rsid w:val="095B0B1A"/>
    <w:rsid w:val="0A670558"/>
    <w:rsid w:val="0B435B0E"/>
    <w:rsid w:val="0BBA7E7F"/>
    <w:rsid w:val="0C142961"/>
    <w:rsid w:val="0CAC4948"/>
    <w:rsid w:val="0D532C44"/>
    <w:rsid w:val="0DB4468E"/>
    <w:rsid w:val="0DC3019B"/>
    <w:rsid w:val="0DC444DC"/>
    <w:rsid w:val="0E254DAA"/>
    <w:rsid w:val="0E8813E4"/>
    <w:rsid w:val="0EAD72E7"/>
    <w:rsid w:val="0EBA2B45"/>
    <w:rsid w:val="0EC0292C"/>
    <w:rsid w:val="0F70684E"/>
    <w:rsid w:val="0FC133F3"/>
    <w:rsid w:val="0FEB1489"/>
    <w:rsid w:val="1088747A"/>
    <w:rsid w:val="109127D2"/>
    <w:rsid w:val="10944070"/>
    <w:rsid w:val="10C34956"/>
    <w:rsid w:val="10EE1F98"/>
    <w:rsid w:val="112B7CCC"/>
    <w:rsid w:val="116F4196"/>
    <w:rsid w:val="11CE29BD"/>
    <w:rsid w:val="11CF2163"/>
    <w:rsid w:val="12775BD9"/>
    <w:rsid w:val="13FB00C7"/>
    <w:rsid w:val="14415E0B"/>
    <w:rsid w:val="14575AE1"/>
    <w:rsid w:val="166C0388"/>
    <w:rsid w:val="16E409E8"/>
    <w:rsid w:val="171B1048"/>
    <w:rsid w:val="1729542D"/>
    <w:rsid w:val="174512A4"/>
    <w:rsid w:val="17AC6144"/>
    <w:rsid w:val="17F13B56"/>
    <w:rsid w:val="18103D4E"/>
    <w:rsid w:val="19120228"/>
    <w:rsid w:val="19233B38"/>
    <w:rsid w:val="198417D8"/>
    <w:rsid w:val="19B12991"/>
    <w:rsid w:val="19E77CDA"/>
    <w:rsid w:val="1A02029D"/>
    <w:rsid w:val="1ABD4FE7"/>
    <w:rsid w:val="1B651D9A"/>
    <w:rsid w:val="1B7E7DF7"/>
    <w:rsid w:val="1CD9195F"/>
    <w:rsid w:val="1D8B1F9B"/>
    <w:rsid w:val="1DEC4A47"/>
    <w:rsid w:val="1E51435C"/>
    <w:rsid w:val="1F136AA8"/>
    <w:rsid w:val="1F5A35D2"/>
    <w:rsid w:val="1F64071F"/>
    <w:rsid w:val="1F6414BC"/>
    <w:rsid w:val="1F9705E8"/>
    <w:rsid w:val="1FB04EF2"/>
    <w:rsid w:val="1FDB75C6"/>
    <w:rsid w:val="1FE56E54"/>
    <w:rsid w:val="202C6073"/>
    <w:rsid w:val="202C7E22"/>
    <w:rsid w:val="203C768E"/>
    <w:rsid w:val="20B10389"/>
    <w:rsid w:val="20BB73F7"/>
    <w:rsid w:val="23403D8B"/>
    <w:rsid w:val="23762D33"/>
    <w:rsid w:val="24594F5D"/>
    <w:rsid w:val="246C2EE2"/>
    <w:rsid w:val="25210113"/>
    <w:rsid w:val="25BF34E6"/>
    <w:rsid w:val="263F3637"/>
    <w:rsid w:val="268A78F2"/>
    <w:rsid w:val="26AA5F44"/>
    <w:rsid w:val="271C36A4"/>
    <w:rsid w:val="27275343"/>
    <w:rsid w:val="283B73C3"/>
    <w:rsid w:val="28A216E9"/>
    <w:rsid w:val="29017971"/>
    <w:rsid w:val="294B5A99"/>
    <w:rsid w:val="297612E2"/>
    <w:rsid w:val="29DA08EE"/>
    <w:rsid w:val="29E259F5"/>
    <w:rsid w:val="2A005E7B"/>
    <w:rsid w:val="2BC44C46"/>
    <w:rsid w:val="2CED69F5"/>
    <w:rsid w:val="2D0126B9"/>
    <w:rsid w:val="2D594220"/>
    <w:rsid w:val="2D8748E9"/>
    <w:rsid w:val="2FEA1011"/>
    <w:rsid w:val="30874C00"/>
    <w:rsid w:val="30A80DE1"/>
    <w:rsid w:val="32037407"/>
    <w:rsid w:val="32130EA4"/>
    <w:rsid w:val="32890B95"/>
    <w:rsid w:val="335F672C"/>
    <w:rsid w:val="350073A1"/>
    <w:rsid w:val="3556003E"/>
    <w:rsid w:val="35CA4616"/>
    <w:rsid w:val="361C0286"/>
    <w:rsid w:val="36590DED"/>
    <w:rsid w:val="373C55E6"/>
    <w:rsid w:val="38C23138"/>
    <w:rsid w:val="39930426"/>
    <w:rsid w:val="3AC479C3"/>
    <w:rsid w:val="3B097803"/>
    <w:rsid w:val="3B5B1163"/>
    <w:rsid w:val="3B9A1C8B"/>
    <w:rsid w:val="3C8825FB"/>
    <w:rsid w:val="3C8F5568"/>
    <w:rsid w:val="3CD84B8B"/>
    <w:rsid w:val="3E9D5C6D"/>
    <w:rsid w:val="40345F97"/>
    <w:rsid w:val="41004C87"/>
    <w:rsid w:val="4157061F"/>
    <w:rsid w:val="41A3153F"/>
    <w:rsid w:val="41FF0A9A"/>
    <w:rsid w:val="4300525F"/>
    <w:rsid w:val="43033795"/>
    <w:rsid w:val="43210EE4"/>
    <w:rsid w:val="43317379"/>
    <w:rsid w:val="43476B9D"/>
    <w:rsid w:val="43F238E4"/>
    <w:rsid w:val="43FD0DE3"/>
    <w:rsid w:val="44266FC2"/>
    <w:rsid w:val="445D5F4C"/>
    <w:rsid w:val="453445B7"/>
    <w:rsid w:val="45BF75D2"/>
    <w:rsid w:val="46CB53EF"/>
    <w:rsid w:val="4807722D"/>
    <w:rsid w:val="48EC3CC7"/>
    <w:rsid w:val="491A08B0"/>
    <w:rsid w:val="49641B2B"/>
    <w:rsid w:val="49FE1F7F"/>
    <w:rsid w:val="4A961DE7"/>
    <w:rsid w:val="4AEE510E"/>
    <w:rsid w:val="4B2D5D73"/>
    <w:rsid w:val="4B985ABC"/>
    <w:rsid w:val="4C211F55"/>
    <w:rsid w:val="4C3E08B2"/>
    <w:rsid w:val="4CA7245A"/>
    <w:rsid w:val="4CC4300C"/>
    <w:rsid w:val="4D9E1AAF"/>
    <w:rsid w:val="4E4F420F"/>
    <w:rsid w:val="4E684CFC"/>
    <w:rsid w:val="4E6E7ED7"/>
    <w:rsid w:val="4E8567CB"/>
    <w:rsid w:val="4EEE5EB3"/>
    <w:rsid w:val="50D717BE"/>
    <w:rsid w:val="52065E75"/>
    <w:rsid w:val="5223590C"/>
    <w:rsid w:val="523C53F3"/>
    <w:rsid w:val="53B91AAB"/>
    <w:rsid w:val="53E4044E"/>
    <w:rsid w:val="56947BD5"/>
    <w:rsid w:val="569E5100"/>
    <w:rsid w:val="56E01AC1"/>
    <w:rsid w:val="56F6036E"/>
    <w:rsid w:val="5712706A"/>
    <w:rsid w:val="575E5864"/>
    <w:rsid w:val="576E7CF1"/>
    <w:rsid w:val="57D32658"/>
    <w:rsid w:val="5824487F"/>
    <w:rsid w:val="58592953"/>
    <w:rsid w:val="59651763"/>
    <w:rsid w:val="5B8B6CF3"/>
    <w:rsid w:val="5BF456AF"/>
    <w:rsid w:val="5C623F7E"/>
    <w:rsid w:val="5D5F7481"/>
    <w:rsid w:val="5D9E30FF"/>
    <w:rsid w:val="5DB06C95"/>
    <w:rsid w:val="5DE1109B"/>
    <w:rsid w:val="5E6E102A"/>
    <w:rsid w:val="5E8F404C"/>
    <w:rsid w:val="5E99597B"/>
    <w:rsid w:val="603575C6"/>
    <w:rsid w:val="60BB7819"/>
    <w:rsid w:val="61B52ACC"/>
    <w:rsid w:val="62024B8D"/>
    <w:rsid w:val="627F1E8A"/>
    <w:rsid w:val="63A4729C"/>
    <w:rsid w:val="63EB4ECB"/>
    <w:rsid w:val="645A795A"/>
    <w:rsid w:val="647B6CE0"/>
    <w:rsid w:val="648570CD"/>
    <w:rsid w:val="6525440C"/>
    <w:rsid w:val="658F259D"/>
    <w:rsid w:val="65E54BA6"/>
    <w:rsid w:val="663C7C5F"/>
    <w:rsid w:val="67566AFF"/>
    <w:rsid w:val="68E1689C"/>
    <w:rsid w:val="691165A6"/>
    <w:rsid w:val="69641FFE"/>
    <w:rsid w:val="696C0144"/>
    <w:rsid w:val="69B8584F"/>
    <w:rsid w:val="6A35099B"/>
    <w:rsid w:val="6A5D6230"/>
    <w:rsid w:val="6A6954EC"/>
    <w:rsid w:val="6B217424"/>
    <w:rsid w:val="6B6446DD"/>
    <w:rsid w:val="6B9809FC"/>
    <w:rsid w:val="6E5A2BDA"/>
    <w:rsid w:val="6E5A35E6"/>
    <w:rsid w:val="6E657628"/>
    <w:rsid w:val="6E8B5A05"/>
    <w:rsid w:val="6EAE5BE7"/>
    <w:rsid w:val="6F270F9A"/>
    <w:rsid w:val="700D5DEC"/>
    <w:rsid w:val="707E29F5"/>
    <w:rsid w:val="70B2124A"/>
    <w:rsid w:val="70BC1927"/>
    <w:rsid w:val="711D4322"/>
    <w:rsid w:val="712E434F"/>
    <w:rsid w:val="716618CF"/>
    <w:rsid w:val="71FC36E4"/>
    <w:rsid w:val="72BC43F1"/>
    <w:rsid w:val="72E871A5"/>
    <w:rsid w:val="72FA0C86"/>
    <w:rsid w:val="73A6496A"/>
    <w:rsid w:val="73B07597"/>
    <w:rsid w:val="73F41B79"/>
    <w:rsid w:val="754206C3"/>
    <w:rsid w:val="763C15B6"/>
    <w:rsid w:val="775F555C"/>
    <w:rsid w:val="77752FD1"/>
    <w:rsid w:val="77FF2F68"/>
    <w:rsid w:val="792627D5"/>
    <w:rsid w:val="796A2F88"/>
    <w:rsid w:val="79E47F9A"/>
    <w:rsid w:val="79F521A7"/>
    <w:rsid w:val="7A9419C0"/>
    <w:rsid w:val="7AA00562"/>
    <w:rsid w:val="7AE55D78"/>
    <w:rsid w:val="7AFA45C5"/>
    <w:rsid w:val="7B2745E3"/>
    <w:rsid w:val="7BD04C7A"/>
    <w:rsid w:val="7BD55DED"/>
    <w:rsid w:val="7BD71D77"/>
    <w:rsid w:val="7C23585B"/>
    <w:rsid w:val="7C8D2B6B"/>
    <w:rsid w:val="7DEC3DB3"/>
    <w:rsid w:val="7E747B3F"/>
    <w:rsid w:val="7E7D4958"/>
    <w:rsid w:val="7E8F5C1C"/>
    <w:rsid w:val="7F0E58EE"/>
    <w:rsid w:val="7F6C0C97"/>
    <w:rsid w:val="7F8A15E4"/>
    <w:rsid w:val="7FA0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unhideWhenUsed/>
    <w:qFormat/>
    <w:uiPriority w:val="0"/>
    <w:rPr>
      <w:color w:val="0000FF"/>
      <w:u w:val="single"/>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qFormat/>
    <w:uiPriority w:val="0"/>
    <w:rPr>
      <w:rFonts w:asciiTheme="minorHAnsi" w:hAnsiTheme="minorHAnsi" w:eastAsiaTheme="minorEastAsia" w:cstheme="minorBidi"/>
      <w:kern w:val="2"/>
      <w:sz w:val="18"/>
      <w:szCs w:val="18"/>
    </w:rPr>
  </w:style>
  <w:style w:type="paragraph" w:styleId="1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A39645-FEF3-45B4-A10C-DBD7D9562E6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5998</Words>
  <Characters>6418</Characters>
  <Lines>50</Lines>
  <Paragraphs>14</Paragraphs>
  <TotalTime>4</TotalTime>
  <ScaleCrop>false</ScaleCrop>
  <LinksUpToDate>false</LinksUpToDate>
  <CharactersWithSpaces>6463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2022-03-26T13:23:00Z</dcterms:created>
  <dc:creator>610</dc:creator>
  <cp:lastModifiedBy>Joey</cp:lastModifiedBy>
  <cp:lastPrinted>2024-03-28T08:55:00Z</cp:lastPrinted>
  <dcterms:modified xsi:type="dcterms:W3CDTF">2024-03-30T05:11:15Z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3C662AB65F1A450EB0492C6482272DFF</vt:lpwstr>
  </property>
</Properties>
</file>