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7F" w:rsidRDefault="00560F7F">
      <w:pPr>
        <w:spacing w:after="156" w:line="560" w:lineRule="exact"/>
        <w:jc w:val="center"/>
        <w:textAlignment w:val="baseline"/>
        <w:rPr>
          <w:rStyle w:val="NormalCharacter"/>
          <w:rFonts w:ascii="仿宋" w:eastAsia="仿宋" w:hAnsi="仿宋"/>
          <w:b/>
          <w:sz w:val="44"/>
          <w:szCs w:val="44"/>
        </w:rPr>
      </w:pPr>
    </w:p>
    <w:p w:rsidR="00560F7F" w:rsidRDefault="00560F7F">
      <w:pPr>
        <w:spacing w:after="156" w:line="560" w:lineRule="exact"/>
        <w:jc w:val="center"/>
        <w:textAlignment w:val="baseline"/>
        <w:rPr>
          <w:rStyle w:val="NormalCharacter"/>
          <w:rFonts w:ascii="仿宋" w:eastAsia="仿宋" w:hAnsi="仿宋"/>
          <w:bCs/>
          <w:sz w:val="44"/>
          <w:szCs w:val="44"/>
        </w:rPr>
      </w:pPr>
    </w:p>
    <w:p w:rsidR="00560F7F" w:rsidRDefault="00560F7F">
      <w:pPr>
        <w:spacing w:after="156" w:line="560" w:lineRule="exact"/>
        <w:jc w:val="center"/>
        <w:textAlignment w:val="baseline"/>
        <w:rPr>
          <w:rStyle w:val="NormalCharacter"/>
          <w:rFonts w:ascii="仿宋" w:eastAsia="仿宋" w:hAnsi="仿宋"/>
          <w:bCs/>
          <w:sz w:val="44"/>
          <w:szCs w:val="44"/>
        </w:rPr>
      </w:pPr>
    </w:p>
    <w:p w:rsidR="00560F7F" w:rsidRDefault="00D4483B">
      <w:pPr>
        <w:spacing w:after="156" w:line="560" w:lineRule="exact"/>
        <w:jc w:val="center"/>
        <w:textAlignment w:val="baseline"/>
        <w:rPr>
          <w:rStyle w:val="NormalCharacter"/>
          <w:rFonts w:ascii="仿宋" w:eastAsia="仿宋" w:hAnsi="仿宋"/>
          <w:bCs/>
          <w:sz w:val="44"/>
          <w:szCs w:val="44"/>
        </w:rPr>
      </w:pPr>
      <w:r>
        <w:rPr>
          <w:rStyle w:val="NormalCharacter"/>
          <w:rFonts w:ascii="仿宋" w:eastAsia="仿宋" w:hAnsi="仿宋" w:hint="eastAsia"/>
          <w:bCs/>
          <w:sz w:val="44"/>
          <w:szCs w:val="44"/>
        </w:rPr>
        <w:t>2022年学位授权点建设年度报告</w:t>
      </w:r>
    </w:p>
    <w:p w:rsidR="00560F7F" w:rsidRDefault="00560F7F">
      <w:pPr>
        <w:snapToGrid w:val="0"/>
        <w:spacing w:line="360" w:lineRule="auto"/>
        <w:textAlignment w:val="baseline"/>
        <w:rPr>
          <w:rStyle w:val="NormalCharacter"/>
          <w:rFonts w:ascii="仿宋" w:eastAsia="仿宋" w:hAnsi="仿宋" w:cs="仿宋_GB2312"/>
          <w:b/>
          <w:sz w:val="28"/>
          <w:szCs w:val="28"/>
        </w:rPr>
      </w:pPr>
    </w:p>
    <w:p w:rsidR="00560F7F" w:rsidRDefault="00560F7F">
      <w:pPr>
        <w:snapToGrid w:val="0"/>
        <w:spacing w:line="360" w:lineRule="auto"/>
        <w:jc w:val="center"/>
        <w:textAlignment w:val="baseline"/>
        <w:rPr>
          <w:rStyle w:val="NormalCharacter"/>
          <w:rFonts w:ascii="仿宋" w:eastAsia="仿宋" w:hAnsi="仿宋" w:cs="仿宋_GB2312"/>
          <w:b/>
          <w:sz w:val="28"/>
          <w:szCs w:val="28"/>
        </w:rPr>
      </w:pPr>
    </w:p>
    <w:p w:rsidR="00560F7F" w:rsidRDefault="00560F7F">
      <w:pPr>
        <w:snapToGrid w:val="0"/>
        <w:spacing w:line="360" w:lineRule="auto"/>
        <w:jc w:val="center"/>
        <w:textAlignment w:val="baseline"/>
        <w:rPr>
          <w:rStyle w:val="NormalCharacter"/>
          <w:rFonts w:ascii="仿宋" w:eastAsia="仿宋" w:hAnsi="仿宋" w:cs="仿宋_GB2312"/>
          <w:b/>
          <w:sz w:val="28"/>
          <w:szCs w:val="28"/>
        </w:rPr>
      </w:pPr>
    </w:p>
    <w:tbl>
      <w:tblPr>
        <w:tblW w:w="5160" w:type="dxa"/>
        <w:tblInd w:w="1728" w:type="dxa"/>
        <w:tblBorders>
          <w:insideV w:val="single" w:sz="4" w:space="0" w:color="auto"/>
        </w:tblBorders>
        <w:tblLayout w:type="fixed"/>
        <w:tblLook w:val="04A0"/>
      </w:tblPr>
      <w:tblGrid>
        <w:gridCol w:w="2211"/>
        <w:gridCol w:w="2949"/>
      </w:tblGrid>
      <w:tr w:rsidR="00560F7F">
        <w:trPr>
          <w:trHeight w:val="1178"/>
        </w:trPr>
        <w:tc>
          <w:tcPr>
            <w:tcW w:w="2211" w:type="dxa"/>
            <w:vMerge w:val="restart"/>
            <w:vAlign w:val="center"/>
          </w:tcPr>
          <w:p w:rsidR="00560F7F" w:rsidRDefault="00D4483B">
            <w:pPr>
              <w:spacing w:line="360" w:lineRule="auto"/>
              <w:jc w:val="distribute"/>
              <w:rPr>
                <w:rFonts w:ascii="仿宋" w:eastAsia="仿宋" w:hAnsi="仿宋" w:cs="仿宋_GB2312"/>
                <w:b/>
                <w:sz w:val="28"/>
                <w:szCs w:val="28"/>
              </w:rPr>
            </w:pPr>
            <w:r>
              <w:rPr>
                <w:rFonts w:ascii="仿宋" w:eastAsia="仿宋" w:hAnsi="仿宋" w:cs="仿宋_GB2312" w:hint="eastAsia"/>
                <w:b/>
                <w:sz w:val="28"/>
                <w:szCs w:val="28"/>
              </w:rPr>
              <w:t>学位授予单位</w:t>
            </w:r>
          </w:p>
        </w:tc>
        <w:tc>
          <w:tcPr>
            <w:tcW w:w="2949" w:type="dxa"/>
            <w:tcBorders>
              <w:bottom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t>名称：江西科技师范大学</w:t>
            </w:r>
          </w:p>
        </w:tc>
      </w:tr>
      <w:tr w:rsidR="00560F7F">
        <w:trPr>
          <w:trHeight w:val="618"/>
        </w:trPr>
        <w:tc>
          <w:tcPr>
            <w:tcW w:w="2211" w:type="dxa"/>
            <w:vMerge/>
          </w:tcPr>
          <w:p w:rsidR="00560F7F" w:rsidRDefault="00560F7F">
            <w:pPr>
              <w:spacing w:line="360" w:lineRule="auto"/>
              <w:jc w:val="center"/>
              <w:rPr>
                <w:rFonts w:ascii="仿宋" w:eastAsia="仿宋" w:hAnsi="仿宋" w:cs="仿宋_GB2312"/>
                <w:b/>
                <w:sz w:val="28"/>
                <w:szCs w:val="28"/>
              </w:rPr>
            </w:pPr>
          </w:p>
        </w:tc>
        <w:tc>
          <w:tcPr>
            <w:tcW w:w="2949" w:type="dxa"/>
            <w:tcBorders>
              <w:top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t>代码：11318</w:t>
            </w:r>
          </w:p>
        </w:tc>
      </w:tr>
    </w:tbl>
    <w:p w:rsidR="00560F7F" w:rsidRDefault="00560F7F">
      <w:pPr>
        <w:snapToGrid w:val="0"/>
        <w:spacing w:line="360" w:lineRule="auto"/>
        <w:jc w:val="center"/>
        <w:textAlignment w:val="baseline"/>
        <w:rPr>
          <w:rStyle w:val="NormalCharacter"/>
          <w:rFonts w:ascii="仿宋" w:eastAsia="仿宋" w:hAnsi="仿宋" w:cs="仿宋_GB2312"/>
          <w:b/>
          <w:sz w:val="28"/>
          <w:szCs w:val="28"/>
        </w:rPr>
      </w:pPr>
    </w:p>
    <w:tbl>
      <w:tblPr>
        <w:tblW w:w="5040" w:type="dxa"/>
        <w:tblInd w:w="1728" w:type="dxa"/>
        <w:tblBorders>
          <w:insideV w:val="single" w:sz="4" w:space="0" w:color="auto"/>
        </w:tblBorders>
        <w:tblLayout w:type="fixed"/>
        <w:tblLook w:val="04A0"/>
      </w:tblPr>
      <w:tblGrid>
        <w:gridCol w:w="2215"/>
        <w:gridCol w:w="2825"/>
      </w:tblGrid>
      <w:tr w:rsidR="00560F7F">
        <w:tc>
          <w:tcPr>
            <w:tcW w:w="2215" w:type="dxa"/>
            <w:vMerge w:val="restart"/>
            <w:vAlign w:val="center"/>
          </w:tcPr>
          <w:p w:rsidR="00560F7F" w:rsidRDefault="00D4483B">
            <w:pPr>
              <w:spacing w:line="360" w:lineRule="auto"/>
              <w:jc w:val="distribute"/>
              <w:rPr>
                <w:rFonts w:ascii="仿宋" w:eastAsia="仿宋" w:hAnsi="仿宋" w:cs="仿宋_GB2312"/>
                <w:b/>
                <w:sz w:val="28"/>
                <w:szCs w:val="28"/>
              </w:rPr>
            </w:pPr>
            <w:r>
              <w:rPr>
                <w:rFonts w:ascii="仿宋" w:eastAsia="仿宋" w:hAnsi="仿宋" w:cs="仿宋_GB2312" w:hint="eastAsia"/>
                <w:b/>
                <w:sz w:val="28"/>
                <w:szCs w:val="28"/>
              </w:rPr>
              <w:t>授权学位</w:t>
            </w:r>
          </w:p>
          <w:p w:rsidR="00560F7F" w:rsidRDefault="00D4483B">
            <w:pPr>
              <w:spacing w:line="360" w:lineRule="auto"/>
              <w:jc w:val="distribute"/>
              <w:rPr>
                <w:rFonts w:ascii="仿宋" w:eastAsia="仿宋" w:hAnsi="仿宋" w:cs="仿宋_GB2312"/>
                <w:b/>
                <w:sz w:val="28"/>
                <w:szCs w:val="28"/>
              </w:rPr>
            </w:pPr>
            <w:r>
              <w:rPr>
                <w:rFonts w:ascii="仿宋" w:eastAsia="仿宋" w:hAnsi="仿宋" w:cs="仿宋_GB2312" w:hint="eastAsia"/>
                <w:b/>
                <w:sz w:val="28"/>
                <w:szCs w:val="28"/>
              </w:rPr>
              <w:t>（类别）</w:t>
            </w:r>
          </w:p>
        </w:tc>
        <w:tc>
          <w:tcPr>
            <w:tcW w:w="2825" w:type="dxa"/>
            <w:tcBorders>
              <w:bottom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t>名称：国际商务硕士</w:t>
            </w:r>
          </w:p>
        </w:tc>
      </w:tr>
      <w:tr w:rsidR="00560F7F">
        <w:tc>
          <w:tcPr>
            <w:tcW w:w="2215" w:type="dxa"/>
            <w:vMerge/>
          </w:tcPr>
          <w:p w:rsidR="00560F7F" w:rsidRDefault="00560F7F">
            <w:pPr>
              <w:spacing w:line="360" w:lineRule="auto"/>
              <w:jc w:val="center"/>
              <w:rPr>
                <w:rFonts w:ascii="仿宋" w:eastAsia="仿宋" w:hAnsi="仿宋" w:cs="仿宋_GB2312"/>
                <w:b/>
                <w:sz w:val="28"/>
                <w:szCs w:val="28"/>
              </w:rPr>
            </w:pPr>
          </w:p>
        </w:tc>
        <w:tc>
          <w:tcPr>
            <w:tcW w:w="2825" w:type="dxa"/>
            <w:tcBorders>
              <w:top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t>代码：</w:t>
            </w:r>
            <w:r>
              <w:rPr>
                <w:rFonts w:ascii="仿宋" w:eastAsia="仿宋" w:hAnsi="仿宋" w:hint="eastAsia"/>
                <w:color w:val="000000"/>
                <w:kern w:val="0"/>
                <w:sz w:val="30"/>
                <w:szCs w:val="30"/>
              </w:rPr>
              <w:t>0254</w:t>
            </w:r>
          </w:p>
        </w:tc>
      </w:tr>
    </w:tbl>
    <w:p w:rsidR="00560F7F" w:rsidRDefault="00560F7F">
      <w:pPr>
        <w:spacing w:line="360" w:lineRule="auto"/>
        <w:jc w:val="center"/>
        <w:textAlignment w:val="baseline"/>
        <w:rPr>
          <w:rStyle w:val="NormalCharacter"/>
          <w:rFonts w:ascii="仿宋" w:eastAsia="仿宋" w:hAnsi="仿宋" w:cs="仿宋_GB2312"/>
          <w:b/>
          <w:sz w:val="28"/>
          <w:szCs w:val="28"/>
        </w:rPr>
      </w:pPr>
    </w:p>
    <w:tbl>
      <w:tblPr>
        <w:tblW w:w="5040" w:type="dxa"/>
        <w:tblInd w:w="1728" w:type="dxa"/>
        <w:tblBorders>
          <w:insideV w:val="single" w:sz="4" w:space="0" w:color="auto"/>
        </w:tblBorders>
        <w:tblLayout w:type="fixed"/>
        <w:tblLook w:val="04A0"/>
      </w:tblPr>
      <w:tblGrid>
        <w:gridCol w:w="2239"/>
        <w:gridCol w:w="2801"/>
      </w:tblGrid>
      <w:tr w:rsidR="00560F7F">
        <w:tc>
          <w:tcPr>
            <w:tcW w:w="2239" w:type="dxa"/>
            <w:vMerge w:val="restart"/>
            <w:vAlign w:val="center"/>
          </w:tcPr>
          <w:p w:rsidR="00560F7F" w:rsidRDefault="00D4483B">
            <w:pPr>
              <w:spacing w:line="360" w:lineRule="auto"/>
              <w:jc w:val="distribute"/>
              <w:rPr>
                <w:rFonts w:ascii="仿宋" w:eastAsia="仿宋" w:hAnsi="仿宋" w:cs="仿宋_GB2312"/>
                <w:b/>
                <w:sz w:val="28"/>
                <w:szCs w:val="28"/>
              </w:rPr>
            </w:pPr>
            <w:r>
              <w:rPr>
                <w:rFonts w:ascii="仿宋" w:eastAsia="仿宋" w:hAnsi="仿宋" w:cs="仿宋_GB2312" w:hint="eastAsia"/>
                <w:b/>
                <w:sz w:val="28"/>
                <w:szCs w:val="28"/>
              </w:rPr>
              <w:t>授权级别</w:t>
            </w:r>
          </w:p>
        </w:tc>
        <w:tc>
          <w:tcPr>
            <w:tcW w:w="2801" w:type="dxa"/>
            <w:tcBorders>
              <w:bottom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t>□  博  士</w:t>
            </w:r>
          </w:p>
        </w:tc>
      </w:tr>
      <w:tr w:rsidR="00560F7F">
        <w:tc>
          <w:tcPr>
            <w:tcW w:w="2239" w:type="dxa"/>
            <w:vMerge/>
          </w:tcPr>
          <w:p w:rsidR="00560F7F" w:rsidRDefault="00560F7F">
            <w:pPr>
              <w:spacing w:line="360" w:lineRule="auto"/>
              <w:jc w:val="center"/>
              <w:rPr>
                <w:rFonts w:ascii="仿宋" w:eastAsia="仿宋" w:hAnsi="仿宋" w:cs="仿宋_GB2312"/>
                <w:b/>
                <w:sz w:val="28"/>
                <w:szCs w:val="28"/>
              </w:rPr>
            </w:pPr>
          </w:p>
        </w:tc>
        <w:tc>
          <w:tcPr>
            <w:tcW w:w="2801" w:type="dxa"/>
            <w:tcBorders>
              <w:top w:val="single" w:sz="4" w:space="0" w:color="auto"/>
            </w:tcBorders>
            <w:vAlign w:val="center"/>
          </w:tcPr>
          <w:p w:rsidR="00560F7F" w:rsidRDefault="00D4483B">
            <w:pPr>
              <w:spacing w:line="360" w:lineRule="auto"/>
              <w:rPr>
                <w:rFonts w:ascii="仿宋" w:eastAsia="仿宋" w:hAnsi="仿宋" w:cs="仿宋_GB2312"/>
                <w:b/>
                <w:sz w:val="28"/>
                <w:szCs w:val="28"/>
              </w:rPr>
            </w:pPr>
            <w:r>
              <w:rPr>
                <w:rFonts w:ascii="仿宋" w:eastAsia="仿宋" w:hAnsi="仿宋" w:cs="仿宋_GB2312" w:hint="eastAsia"/>
                <w:b/>
                <w:sz w:val="28"/>
                <w:szCs w:val="28"/>
              </w:rPr>
              <w:sym w:font="Wingdings" w:char="00FE"/>
            </w:r>
            <w:r>
              <w:rPr>
                <w:rFonts w:ascii="仿宋" w:eastAsia="仿宋" w:hAnsi="仿宋" w:cs="仿宋_GB2312" w:hint="eastAsia"/>
                <w:b/>
                <w:sz w:val="28"/>
                <w:szCs w:val="28"/>
              </w:rPr>
              <w:t xml:space="preserve"> 硕  士</w:t>
            </w:r>
          </w:p>
        </w:tc>
      </w:tr>
    </w:tbl>
    <w:p w:rsidR="00560F7F" w:rsidRDefault="00560F7F">
      <w:pPr>
        <w:spacing w:line="560" w:lineRule="exact"/>
        <w:textAlignment w:val="baseline"/>
        <w:rPr>
          <w:rStyle w:val="NormalCharacter"/>
          <w:rFonts w:ascii="仿宋" w:eastAsia="仿宋" w:hAnsi="仿宋"/>
          <w:b/>
          <w:sz w:val="30"/>
          <w:szCs w:val="30"/>
        </w:rPr>
      </w:pPr>
    </w:p>
    <w:p w:rsidR="00560F7F" w:rsidRDefault="00560F7F">
      <w:pPr>
        <w:pStyle w:val="Heading3"/>
        <w:widowControl/>
        <w:ind w:firstLine="480"/>
        <w:rPr>
          <w:rStyle w:val="NormalCharacter"/>
          <w:rFonts w:ascii="仿宋" w:eastAsia="仿宋" w:hAnsi="仿宋"/>
          <w:color w:val="auto"/>
        </w:rPr>
      </w:pPr>
    </w:p>
    <w:p w:rsidR="00560F7F" w:rsidRDefault="00560F7F">
      <w:pPr>
        <w:spacing w:line="560" w:lineRule="exact"/>
        <w:jc w:val="center"/>
        <w:textAlignment w:val="baseline"/>
        <w:rPr>
          <w:rStyle w:val="NormalCharacter"/>
          <w:rFonts w:ascii="仿宋" w:eastAsia="仿宋" w:hAnsi="仿宋"/>
          <w:b/>
          <w:sz w:val="30"/>
          <w:szCs w:val="30"/>
        </w:rPr>
      </w:pPr>
    </w:p>
    <w:p w:rsidR="00560F7F" w:rsidRDefault="00D4483B">
      <w:pPr>
        <w:spacing w:line="560" w:lineRule="exact"/>
        <w:jc w:val="center"/>
        <w:textAlignment w:val="baseline"/>
        <w:rPr>
          <w:rStyle w:val="NormalCharacter"/>
          <w:rFonts w:ascii="仿宋" w:eastAsia="仿宋" w:hAnsi="仿宋"/>
          <w:sz w:val="32"/>
          <w:szCs w:val="32"/>
        </w:rPr>
        <w:sectPr w:rsidR="00560F7F">
          <w:footerReference w:type="default" r:id="rId7"/>
          <w:pgSz w:w="11906" w:h="16838"/>
          <w:pgMar w:top="1440" w:right="1800" w:bottom="1440" w:left="1800" w:header="851" w:footer="992" w:gutter="0"/>
          <w:pgNumType w:start="1"/>
          <w:cols w:space="425"/>
          <w:docGrid w:type="lines" w:linePitch="312"/>
        </w:sectPr>
      </w:pPr>
      <w:r>
        <w:rPr>
          <w:rStyle w:val="NormalCharacter"/>
          <w:rFonts w:ascii="仿宋" w:eastAsia="仿宋" w:hAnsi="仿宋"/>
          <w:b/>
          <w:sz w:val="32"/>
          <w:szCs w:val="32"/>
        </w:rPr>
        <w:t>202</w:t>
      </w:r>
      <w:r>
        <w:rPr>
          <w:rStyle w:val="NormalCharacter"/>
          <w:rFonts w:ascii="仿宋" w:eastAsia="仿宋" w:hAnsi="仿宋" w:hint="eastAsia"/>
          <w:b/>
          <w:sz w:val="32"/>
          <w:szCs w:val="32"/>
        </w:rPr>
        <w:t>2年12月31日</w:t>
      </w:r>
    </w:p>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lastRenderedPageBreak/>
        <w:t>1总体概况</w:t>
      </w:r>
      <w:bookmarkStart w:id="0" w:name="_Toc22849"/>
    </w:p>
    <w:p w:rsidR="00560F7F" w:rsidRDefault="00D4483B" w:rsidP="004E4521">
      <w:pPr>
        <w:widowControl/>
        <w:spacing w:beforeLines="50" w:line="400" w:lineRule="exact"/>
        <w:textAlignment w:val="baseline"/>
        <w:rPr>
          <w:rStyle w:val="NormalCharacter"/>
          <w:rFonts w:ascii="黑体" w:eastAsia="黑体" w:hAnsi="黑体" w:cs="方正仿宋简体"/>
          <w:b/>
          <w:sz w:val="32"/>
          <w:szCs w:val="32"/>
        </w:rPr>
      </w:pPr>
      <w:r>
        <w:rPr>
          <w:rStyle w:val="NormalCharacter"/>
          <w:rFonts w:ascii="黑体" w:eastAsia="黑体" w:hAnsi="黑体" w:cs="仿宋_GB2312" w:hint="eastAsia"/>
          <w:sz w:val="28"/>
          <w:szCs w:val="28"/>
        </w:rPr>
        <w:t>1.1 学位授权点基本情况</w:t>
      </w:r>
      <w:bookmarkEnd w:id="0"/>
    </w:p>
    <w:p w:rsidR="00560F7F" w:rsidRDefault="00D4483B">
      <w:pPr>
        <w:widowControl/>
        <w:shd w:val="clear" w:color="auto" w:fill="FFFFFF"/>
        <w:adjustRightInd w:val="0"/>
        <w:snapToGrid w:val="0"/>
        <w:spacing w:line="4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江西科技师范大学坐落于享有“物华天宝、人杰地灵”盛誉的历史文化名城、“军旗升起的地方”——南昌。学校是教育部重点建设的培养职业教育师资的公办多科性本科院校、全国职业教育研究的重要基地、全国职业教育师资培养培训重点建设基地、全国最早独立设置的八所职业技术师范院校之一，是江西省公费师范生培养高校，主要培养职教师资、普教师资和其他应用型高级专门人才。经过近70年的建设与发展，学校形成了以本科、研究生教育为主体的多学科、多层次的办学格局。</w:t>
      </w:r>
    </w:p>
    <w:p w:rsidR="00560F7F" w:rsidRDefault="00D4483B">
      <w:pPr>
        <w:widowControl/>
        <w:shd w:val="clear" w:color="auto" w:fill="FFFFFF"/>
        <w:adjustRightInd w:val="0"/>
        <w:snapToGrid w:val="0"/>
        <w:spacing w:line="4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我校国际商务专业硕士学位授权点依托商学院国际经济与贸易、电子商务和物流管理等三个本科专业，培养具有社会责任感与职业道德、全球视野和创新意识、国际商务专业技能与素养、跨文化沟通能力，能够胜任国际化经营与管理工作的国际化、高层次、应用型、复合型专门人才为目标的专业学位教育项目。</w:t>
      </w:r>
    </w:p>
    <w:p w:rsidR="00560F7F" w:rsidRDefault="00D4483B">
      <w:pPr>
        <w:widowControl/>
        <w:shd w:val="clear" w:color="auto" w:fill="FFFFFF"/>
        <w:adjustRightInd w:val="0"/>
        <w:snapToGrid w:val="0"/>
        <w:spacing w:line="4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我校国际商务专业硕士学位授权点招生2018年获得批准，2019年开始招生，当年招生13人，2020年招生15人，2021年招生17人，2022年招生15人。总体来看，我校国际商务专业硕士招生人数较为稳定，生源质量较好。该专业学位点立足南昌，服务江西地方经济发展，积极参与国家“一带一路”发展战略，主动对接长珠闽，深度融入大湾区，为实现江西经济社会发展培养中高级国际化应用型商务人才。为策应江西省“2+6+N”产业跨越式发展行动计划、六大优势产业、数字经济“一号发展工程”等重大发展战略，我校国际商务学科教师积极围绕江西省发展战略开展研究，并围绕国际贸易、现代物流和供应链、数字经济和跨境电子商务综试区等进行学位论文选题和研究，希望能为我省国际商务、现代物流和数字经济发展提供智力支持和政策参考，为我省国际商务、现代物流、数字经济发展培养“有知识、善运营、会管理”的高层次优秀人才。</w:t>
      </w:r>
      <w:bookmarkStart w:id="1" w:name="_Toc26441"/>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1.2 学位建设情况</w:t>
      </w:r>
      <w:bookmarkEnd w:id="1"/>
    </w:p>
    <w:p w:rsidR="00560F7F" w:rsidRDefault="00D4483B">
      <w:pPr>
        <w:widowControl/>
        <w:shd w:val="clear" w:color="auto" w:fill="FFFFFF"/>
        <w:adjustRightInd w:val="0"/>
        <w:snapToGrid w:val="0"/>
        <w:spacing w:line="400" w:lineRule="exact"/>
        <w:ind w:firstLineChars="200" w:firstLine="480"/>
        <w:jc w:val="left"/>
        <w:rPr>
          <w:rFonts w:ascii="宋体" w:eastAsia="宋体" w:hAnsi="宋体" w:cs="仿宋_GB2312"/>
          <w:sz w:val="24"/>
          <w:szCs w:val="24"/>
        </w:rPr>
      </w:pPr>
      <w:r>
        <w:rPr>
          <w:rFonts w:ascii="宋体" w:eastAsia="宋体" w:hAnsi="宋体" w:cs="仿宋_GB2312" w:hint="eastAsia"/>
          <w:sz w:val="24"/>
          <w:szCs w:val="24"/>
        </w:rPr>
        <w:t>我校国际商务专硕主要设置国际贸易、跨境电子商务和国际经济合作三个研究方向，具体情况见表1。</w:t>
      </w:r>
    </w:p>
    <w:p w:rsidR="00560F7F" w:rsidRDefault="00D4483B">
      <w:pPr>
        <w:pStyle w:val="a6"/>
        <w:adjustRightInd w:val="0"/>
        <w:jc w:val="center"/>
        <w:rPr>
          <w:rFonts w:ascii="宋体" w:eastAsia="宋体" w:hAnsi="宋体" w:cs="仿宋_GB2312"/>
          <w:sz w:val="21"/>
          <w:szCs w:val="21"/>
        </w:rPr>
      </w:pPr>
      <w:r>
        <w:rPr>
          <w:rFonts w:ascii="宋体" w:eastAsia="宋体" w:hAnsi="宋体" w:cs="仿宋_GB2312" w:hint="eastAsia"/>
          <w:sz w:val="21"/>
          <w:szCs w:val="21"/>
        </w:rPr>
        <w:t>表 1 国际商务专业研究方向设置</w:t>
      </w:r>
    </w:p>
    <w:tbl>
      <w:tblPr>
        <w:tblStyle w:val="a8"/>
        <w:tblW w:w="5000" w:type="pct"/>
        <w:tblLook w:val="04A0"/>
      </w:tblPr>
      <w:tblGrid>
        <w:gridCol w:w="2534"/>
        <w:gridCol w:w="5988"/>
      </w:tblGrid>
      <w:tr w:rsidR="00560F7F">
        <w:tc>
          <w:tcPr>
            <w:tcW w:w="1487"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研究方向</w:t>
            </w:r>
          </w:p>
        </w:tc>
        <w:tc>
          <w:tcPr>
            <w:tcW w:w="3513"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定位及特色</w:t>
            </w:r>
          </w:p>
        </w:tc>
      </w:tr>
      <w:tr w:rsidR="00560F7F">
        <w:tc>
          <w:tcPr>
            <w:tcW w:w="1487"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国际贸易</w:t>
            </w:r>
          </w:p>
        </w:tc>
        <w:tc>
          <w:tcPr>
            <w:tcW w:w="3513"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基于中国现有对外贸易环境，研究中国与世界各国尤其是与“一带一路”沿线国家间的国际贸易的平衡、模式和发展方向。</w:t>
            </w:r>
          </w:p>
        </w:tc>
      </w:tr>
      <w:tr w:rsidR="00560F7F">
        <w:tc>
          <w:tcPr>
            <w:tcW w:w="1487"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跨境电子商务</w:t>
            </w:r>
          </w:p>
        </w:tc>
        <w:tc>
          <w:tcPr>
            <w:tcW w:w="3513"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基于中小企业发展现状，研究中小型企业国际商务活动中的电子商务营销、电子支付和网络安全等。</w:t>
            </w:r>
          </w:p>
        </w:tc>
      </w:tr>
      <w:tr w:rsidR="00560F7F">
        <w:tc>
          <w:tcPr>
            <w:tcW w:w="1487"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国际经济合作</w:t>
            </w:r>
          </w:p>
        </w:tc>
        <w:tc>
          <w:tcPr>
            <w:tcW w:w="3513" w:type="pct"/>
          </w:tcPr>
          <w:p w:rsidR="00560F7F" w:rsidRDefault="00D4483B">
            <w:pPr>
              <w:pStyle w:val="a6"/>
              <w:adjustRightInd w:val="0"/>
              <w:rPr>
                <w:rFonts w:ascii="宋体" w:eastAsia="宋体" w:hAnsi="宋体" w:cs="仿宋_GB2312"/>
                <w:kern w:val="0"/>
                <w:sz w:val="21"/>
                <w:szCs w:val="21"/>
              </w:rPr>
            </w:pPr>
            <w:r>
              <w:rPr>
                <w:rFonts w:ascii="宋体" w:eastAsia="宋体" w:hAnsi="宋体" w:cs="仿宋_GB2312" w:hint="eastAsia"/>
                <w:kern w:val="0"/>
                <w:sz w:val="21"/>
                <w:szCs w:val="21"/>
              </w:rPr>
              <w:t>基于“一带一路”背景，研究中国与各国开展的国际经济合作中的机制、模式和基本规律。</w:t>
            </w:r>
          </w:p>
        </w:tc>
      </w:tr>
    </w:tbl>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bookmarkStart w:id="2" w:name="_Toc9763"/>
      <w:r>
        <w:rPr>
          <w:rStyle w:val="NormalCharacter"/>
          <w:rFonts w:ascii="黑体" w:eastAsia="黑体" w:hAnsi="黑体" w:cs="仿宋_GB2312" w:hint="eastAsia"/>
          <w:sz w:val="28"/>
          <w:szCs w:val="28"/>
        </w:rPr>
        <w:lastRenderedPageBreak/>
        <w:t xml:space="preserve">1.3 </w:t>
      </w:r>
      <w:r w:rsidR="00C72D1E">
        <w:rPr>
          <w:rStyle w:val="NormalCharacter"/>
          <w:rFonts w:ascii="黑体" w:eastAsia="黑体" w:hAnsi="黑体" w:cs="仿宋_GB2312" w:hint="eastAsia"/>
          <w:sz w:val="28"/>
          <w:szCs w:val="28"/>
        </w:rPr>
        <w:t>专业教师</w:t>
      </w:r>
      <w:r>
        <w:rPr>
          <w:rStyle w:val="NormalCharacter"/>
          <w:rFonts w:ascii="黑体" w:eastAsia="黑体" w:hAnsi="黑体" w:cs="仿宋_GB2312" w:hint="eastAsia"/>
          <w:sz w:val="28"/>
          <w:szCs w:val="28"/>
        </w:rPr>
        <w:t>总体情况</w:t>
      </w:r>
      <w:bookmarkEnd w:id="2"/>
    </w:p>
    <w:p w:rsidR="00560F7F" w:rsidRDefault="00D4483B">
      <w:pPr>
        <w:pStyle w:val="20"/>
        <w:adjustRightInd w:val="0"/>
        <w:snapToGrid w:val="0"/>
        <w:spacing w:line="400" w:lineRule="exact"/>
        <w:ind w:firstLine="480"/>
        <w:rPr>
          <w:rStyle w:val="NormalCharacter"/>
          <w:rFonts w:ascii="宋体" w:eastAsia="宋体" w:hAnsi="宋体" w:cs="仿宋_GB2312"/>
        </w:rPr>
      </w:pPr>
      <w:r>
        <w:rPr>
          <w:rStyle w:val="NormalCharacter"/>
          <w:rFonts w:ascii="宋体" w:eastAsia="宋体" w:hAnsi="宋体" w:cs="仿宋_GB2312" w:hint="eastAsia"/>
        </w:rPr>
        <w:t>国际商务专业学位点现有专职教师20人，其中副教授以上职称教师</w:t>
      </w:r>
      <w:r w:rsidR="006B687D">
        <w:rPr>
          <w:rStyle w:val="NormalCharacter"/>
          <w:rFonts w:ascii="宋体" w:eastAsia="宋体" w:hAnsi="宋体" w:cs="仿宋_GB2312" w:hint="eastAsia"/>
        </w:rPr>
        <w:t>10</w:t>
      </w:r>
      <w:r>
        <w:rPr>
          <w:rStyle w:val="NormalCharacter"/>
          <w:rFonts w:ascii="宋体" w:eastAsia="宋体" w:hAnsi="宋体" w:cs="仿宋_GB2312" w:hint="eastAsia"/>
        </w:rPr>
        <w:t>人，占</w:t>
      </w:r>
      <w:r w:rsidR="006B687D">
        <w:rPr>
          <w:rStyle w:val="NormalCharacter"/>
          <w:rFonts w:ascii="宋体" w:eastAsia="宋体" w:hAnsi="宋体" w:cs="仿宋_GB2312" w:hint="eastAsia"/>
        </w:rPr>
        <w:t>50</w:t>
      </w:r>
      <w:r>
        <w:rPr>
          <w:rStyle w:val="NormalCharacter"/>
          <w:rFonts w:ascii="宋体" w:eastAsia="宋体" w:hAnsi="宋体" w:cs="仿宋_GB2312" w:hint="eastAsia"/>
        </w:rPr>
        <w:t>%，博士研究生学历10人，占50%，有国（境）外学习经历的教师4人，占20%，有行业经历教师</w:t>
      </w:r>
      <w:r w:rsidR="001C54CC">
        <w:rPr>
          <w:rStyle w:val="NormalCharacter"/>
          <w:rFonts w:ascii="宋体" w:eastAsia="宋体" w:hAnsi="宋体" w:cs="仿宋_GB2312" w:hint="eastAsia"/>
        </w:rPr>
        <w:t>7</w:t>
      </w:r>
      <w:r>
        <w:rPr>
          <w:rStyle w:val="NormalCharacter"/>
          <w:rFonts w:ascii="宋体" w:eastAsia="宋体" w:hAnsi="宋体" w:cs="仿宋_GB2312" w:hint="eastAsia"/>
        </w:rPr>
        <w:t>名，占</w:t>
      </w:r>
      <w:r w:rsidR="001C54CC">
        <w:rPr>
          <w:rStyle w:val="NormalCharacter"/>
          <w:rFonts w:ascii="宋体" w:eastAsia="宋体" w:hAnsi="宋体" w:cs="仿宋_GB2312" w:hint="eastAsia"/>
        </w:rPr>
        <w:t>35</w:t>
      </w:r>
      <w:r>
        <w:rPr>
          <w:rStyle w:val="NormalCharacter"/>
          <w:rFonts w:ascii="宋体" w:eastAsia="宋体" w:hAnsi="宋体" w:cs="仿宋_GB2312" w:hint="eastAsia"/>
        </w:rPr>
        <w:t>%。教师来源院校类型多样，学科结构、学缘结构和梯队结构合理，教师专业涉及应用经济学、理论经济学、管理科学与工程、工商管理、农林经济管理和</w:t>
      </w:r>
      <w:r w:rsidR="004E4521">
        <w:rPr>
          <w:rStyle w:val="NormalCharacter"/>
          <w:rFonts w:ascii="宋体" w:eastAsia="宋体" w:hAnsi="宋体" w:cs="仿宋_GB2312" w:hint="eastAsia"/>
        </w:rPr>
        <w:t>教育经济与管理</w:t>
      </w:r>
      <w:r>
        <w:rPr>
          <w:rStyle w:val="NormalCharacter"/>
          <w:rFonts w:ascii="宋体" w:eastAsia="宋体" w:hAnsi="宋体" w:cs="仿宋_GB2312" w:hint="eastAsia"/>
        </w:rPr>
        <w:t xml:space="preserve">等六个一级学科，涵盖经济学和管理学两大学科门类。具体来看，国际商务专硕共设置国际贸易、跨境电子商务和国际经济合作三个方向，其中国际贸易方向教师7人、跨境电子商务方向7人、国际经济合作方向6人。 </w:t>
      </w:r>
    </w:p>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t>2 研究生党建与思想政治教育工作</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2.1 思想政治教育队伍建设</w:t>
      </w:r>
    </w:p>
    <w:p w:rsidR="003C540D" w:rsidRPr="003C540D" w:rsidRDefault="003C540D" w:rsidP="003C540D">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hint="eastAsia"/>
          <w:color w:val="auto"/>
          <w:szCs w:val="24"/>
        </w:rPr>
        <w:t>本学位授予点始终坚持社会主义办学方向，将思政</w:t>
      </w:r>
      <w:r w:rsidRPr="003C540D">
        <w:rPr>
          <w:rStyle w:val="NormalCharacter"/>
          <w:rFonts w:ascii="宋体" w:eastAsia="宋体" w:hAnsi="宋体" w:cs="方正仿宋简体" w:hint="eastAsia"/>
          <w:color w:val="auto"/>
          <w:szCs w:val="24"/>
        </w:rPr>
        <w:t>教育贯穿课程教育全过程，</w:t>
      </w:r>
      <w:r w:rsidR="00D12630">
        <w:rPr>
          <w:rStyle w:val="NormalCharacter"/>
          <w:rFonts w:ascii="宋体" w:eastAsia="宋体" w:hAnsi="宋体" w:cs="方正仿宋简体" w:hint="eastAsia"/>
          <w:color w:val="auto"/>
          <w:szCs w:val="24"/>
        </w:rPr>
        <w:t>在</w:t>
      </w:r>
      <w:r>
        <w:rPr>
          <w:rStyle w:val="NormalCharacter"/>
          <w:rFonts w:ascii="宋体" w:eastAsia="宋体" w:hAnsi="宋体" w:cs="方正仿宋简体" w:hint="eastAsia"/>
          <w:color w:val="auto"/>
          <w:szCs w:val="24"/>
        </w:rPr>
        <w:t>教育教学过程中，全面</w:t>
      </w:r>
      <w:r w:rsidRPr="003C540D">
        <w:rPr>
          <w:rStyle w:val="NormalCharacter"/>
          <w:rFonts w:ascii="宋体" w:eastAsia="宋体" w:hAnsi="宋体" w:cs="方正仿宋简体" w:hint="eastAsia"/>
          <w:color w:val="auto"/>
          <w:szCs w:val="24"/>
        </w:rPr>
        <w:t>把握</w:t>
      </w:r>
      <w:r>
        <w:rPr>
          <w:rStyle w:val="NormalCharacter"/>
          <w:rFonts w:ascii="宋体" w:eastAsia="宋体" w:hAnsi="宋体" w:cs="方正仿宋简体" w:hint="eastAsia"/>
          <w:color w:val="auto"/>
          <w:szCs w:val="24"/>
        </w:rPr>
        <w:t>国际商务专业特点，实现</w:t>
      </w:r>
      <w:r w:rsidRPr="003C540D">
        <w:rPr>
          <w:rStyle w:val="NormalCharacter"/>
          <w:rFonts w:ascii="宋体" w:eastAsia="宋体" w:hAnsi="宋体" w:cs="方正仿宋简体" w:hint="eastAsia"/>
          <w:color w:val="auto"/>
          <w:szCs w:val="24"/>
        </w:rPr>
        <w:t>思政教育、心理教育、职业</w:t>
      </w:r>
      <w:r>
        <w:rPr>
          <w:rStyle w:val="NormalCharacter"/>
          <w:rFonts w:ascii="宋体" w:eastAsia="宋体" w:hAnsi="宋体" w:cs="方正仿宋简体" w:hint="eastAsia"/>
          <w:color w:val="auto"/>
          <w:szCs w:val="24"/>
        </w:rPr>
        <w:t>规划、道德教育和专业素养提升</w:t>
      </w:r>
      <w:r w:rsidRPr="003C540D">
        <w:rPr>
          <w:rStyle w:val="NormalCharacter"/>
          <w:rFonts w:ascii="宋体" w:eastAsia="宋体" w:hAnsi="宋体" w:cs="方正仿宋简体" w:hint="eastAsia"/>
          <w:color w:val="auto"/>
          <w:szCs w:val="24"/>
        </w:rPr>
        <w:t>同频共振，全力打造“三全育人”格局，实现师生共同发展、共同成长。</w:t>
      </w:r>
    </w:p>
    <w:p w:rsidR="00560F7F" w:rsidRDefault="00D4483B">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color w:val="auto"/>
          <w:szCs w:val="24"/>
        </w:rPr>
        <w:t>构建了五位一体的</w:t>
      </w:r>
      <w:r>
        <w:rPr>
          <w:rStyle w:val="NormalCharacter"/>
          <w:rFonts w:ascii="宋体" w:eastAsia="宋体" w:hAnsi="宋体" w:cs="方正仿宋简体" w:hint="eastAsia"/>
          <w:color w:val="auto"/>
          <w:szCs w:val="24"/>
        </w:rPr>
        <w:t>思想政治教育队伍建设</w:t>
      </w:r>
      <w:r>
        <w:rPr>
          <w:rStyle w:val="NormalCharacter"/>
          <w:rFonts w:ascii="宋体" w:eastAsia="宋体" w:hAnsi="宋体" w:cs="方正仿宋简体"/>
          <w:color w:val="auto"/>
          <w:szCs w:val="24"/>
        </w:rPr>
        <w:t>思路，完善新时代师德建设长效机制，推进</w:t>
      </w:r>
      <w:r>
        <w:rPr>
          <w:rStyle w:val="NormalCharacter"/>
          <w:rFonts w:ascii="宋体" w:eastAsia="宋体" w:hAnsi="宋体" w:cs="方正仿宋简体" w:hint="eastAsia"/>
          <w:color w:val="auto"/>
          <w:szCs w:val="24"/>
        </w:rPr>
        <w:t>学位</w:t>
      </w:r>
      <w:r>
        <w:rPr>
          <w:rStyle w:val="NormalCharacter"/>
          <w:rFonts w:ascii="宋体" w:eastAsia="宋体" w:hAnsi="宋体" w:cs="方正仿宋简体"/>
          <w:color w:val="auto"/>
          <w:szCs w:val="24"/>
        </w:rPr>
        <w:t>师德师风建设工作常态化。出台了“教师文明用语、忌语”等有关规定，赋予了师德教育新内涵，使广大教师教有准绳；其次，以老带新</w:t>
      </w:r>
      <w:r>
        <w:rPr>
          <w:rStyle w:val="NormalCharacter"/>
          <w:rFonts w:ascii="宋体" w:eastAsia="宋体" w:hAnsi="宋体" w:cs="方正仿宋简体" w:hint="eastAsia"/>
          <w:color w:val="auto"/>
          <w:szCs w:val="24"/>
        </w:rPr>
        <w:t>，</w:t>
      </w:r>
      <w:r>
        <w:rPr>
          <w:rStyle w:val="NormalCharacter"/>
          <w:rFonts w:ascii="宋体" w:eastAsia="宋体" w:hAnsi="宋体" w:cs="方正仿宋简体"/>
          <w:color w:val="auto"/>
          <w:szCs w:val="24"/>
        </w:rPr>
        <w:t>让有经验的教师与青年教师结对子，促使新教师尽快熟悉教育教学常规，站稳讲台，胜任工作。</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2.2 研究生党建工作</w:t>
      </w:r>
    </w:p>
    <w:p w:rsidR="00560F7F" w:rsidRDefault="00D4483B">
      <w:pPr>
        <w:spacing w:line="400" w:lineRule="exact"/>
        <w:ind w:firstLineChars="200" w:firstLine="480"/>
        <w:rPr>
          <w:rStyle w:val="NormalCharacter"/>
          <w:rFonts w:ascii="宋体" w:eastAsia="宋体" w:hAnsi="宋体" w:cs="方正仿宋简体"/>
          <w:szCs w:val="24"/>
        </w:rPr>
      </w:pPr>
      <w:r>
        <w:rPr>
          <w:rStyle w:val="NormalCharacter"/>
          <w:rFonts w:ascii="宋体" w:eastAsia="宋体" w:hAnsi="宋体" w:cs="方正仿宋简体" w:hint="eastAsia"/>
          <w:szCs w:val="24"/>
        </w:rPr>
        <w:t>围绕立德树人、坚定研究生理想信念构建了研究生党建工作的长效机制，持续探索构建“三全育人”工作格局，党建始终贯穿人才培养体系，确保党建育人作用得到充分发挥。构建了辅导员、导师、班主任联动的全方位思政工作维度，做到对研究生的生活、学习、科研等方面全覆盖。加强对研究生党员的管理，促成研究生党员发挥先锋模范作用。高度重视研究生的思政表现，纳入考核，形成正向激励。</w:t>
      </w:r>
    </w:p>
    <w:p w:rsidR="00560F7F" w:rsidRDefault="00D4483B">
      <w:pPr>
        <w:spacing w:line="400" w:lineRule="exact"/>
        <w:ind w:firstLineChars="196" w:firstLine="470"/>
        <w:rPr>
          <w:rFonts w:ascii="宋体" w:eastAsia="宋体" w:hAnsi="宋体" w:cs="方正仿宋简体"/>
          <w:sz w:val="24"/>
          <w:szCs w:val="24"/>
        </w:rPr>
      </w:pPr>
      <w:r>
        <w:rPr>
          <w:rStyle w:val="NormalCharacter"/>
          <w:rFonts w:ascii="宋体" w:eastAsia="宋体" w:hAnsi="宋体" w:cs="方正仿宋简体" w:hint="eastAsia"/>
          <w:szCs w:val="24"/>
        </w:rPr>
        <w:t>开展“以案说纪”“以案说法”“以案说德”“以案说责”系列警示教育活动，组织教师学习《新时代高校教师职业行为十项准则》《教育部公开曝光第十批7起违反教师职业行为十项准则典型案例》《江西省教育厅公布第三批6起教师违反师德师风典型案例》《通报钟国强案件等校内其他违规违纪典型案例并开展警示教育》等法律法规和政策。</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2.3 学位点文化建设</w:t>
      </w:r>
    </w:p>
    <w:p w:rsidR="00560F7F" w:rsidRDefault="00D4483B">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color w:val="auto"/>
          <w:szCs w:val="24"/>
        </w:rPr>
        <w:lastRenderedPageBreak/>
        <w:t>本学位点</w:t>
      </w:r>
      <w:r>
        <w:rPr>
          <w:rStyle w:val="NormalCharacter"/>
          <w:rFonts w:ascii="宋体" w:eastAsia="宋体" w:hAnsi="宋体" w:cs="方正仿宋简体" w:hint="eastAsia"/>
          <w:color w:val="auto"/>
          <w:szCs w:val="24"/>
        </w:rPr>
        <w:t>高度重视</w:t>
      </w:r>
      <w:r>
        <w:rPr>
          <w:rStyle w:val="NormalCharacter"/>
          <w:rFonts w:ascii="宋体" w:eastAsia="宋体" w:hAnsi="宋体" w:cs="方正仿宋简体"/>
          <w:color w:val="auto"/>
          <w:szCs w:val="24"/>
        </w:rPr>
        <w:t>对研究生</w:t>
      </w:r>
      <w:r>
        <w:rPr>
          <w:rStyle w:val="NormalCharacter"/>
          <w:rFonts w:ascii="宋体" w:eastAsia="宋体" w:hAnsi="宋体" w:cs="方正仿宋简体" w:hint="eastAsia"/>
          <w:color w:val="auto"/>
          <w:szCs w:val="24"/>
        </w:rPr>
        <w:t>的学风教育。为了深化研究生的学生道德意识，已经建立了严格的学术惩戒处罚措施。对违反学术道德的行为，一经查实，学校将相应进行处理、处罚：取消资格、学位、称号等。除了</w:t>
      </w:r>
      <w:r>
        <w:rPr>
          <w:rStyle w:val="NormalCharacter"/>
          <w:rFonts w:ascii="宋体" w:eastAsia="宋体" w:hAnsi="宋体" w:cs="方正仿宋简体"/>
          <w:color w:val="auto"/>
          <w:szCs w:val="24"/>
        </w:rPr>
        <w:t>制定和完善《</w:t>
      </w:r>
      <w:r>
        <w:rPr>
          <w:rStyle w:val="NormalCharacter"/>
          <w:rFonts w:ascii="宋体" w:eastAsia="宋体" w:hAnsi="宋体" w:cs="方正仿宋简体" w:hint="eastAsia"/>
          <w:color w:val="auto"/>
          <w:szCs w:val="24"/>
        </w:rPr>
        <w:t>江西科技师范大学学位论文作假行为处理办法实施细则</w:t>
      </w:r>
      <w:r>
        <w:rPr>
          <w:rStyle w:val="NormalCharacter"/>
          <w:rFonts w:ascii="宋体" w:eastAsia="宋体" w:hAnsi="宋体" w:cs="方正仿宋简体"/>
          <w:color w:val="auto"/>
          <w:szCs w:val="24"/>
        </w:rPr>
        <w:t>》等相关制度</w:t>
      </w:r>
      <w:r>
        <w:rPr>
          <w:rStyle w:val="NormalCharacter"/>
          <w:rFonts w:ascii="宋体" w:eastAsia="宋体" w:hAnsi="宋体" w:cs="方正仿宋简体" w:hint="eastAsia"/>
          <w:color w:val="auto"/>
          <w:szCs w:val="24"/>
        </w:rPr>
        <w:t>，还在日常教学科研中进行严格管理，包括强化研究生导师的思政教育首要责任人作用，如《</w:t>
      </w:r>
      <w:r>
        <w:rPr>
          <w:rStyle w:val="NormalCharacter"/>
          <w:rFonts w:ascii="宋体" w:eastAsia="宋体" w:hAnsi="宋体" w:cs="方正仿宋简体"/>
          <w:color w:val="auto"/>
          <w:szCs w:val="24"/>
        </w:rPr>
        <w:t>研究生指导教师考核管理办法</w:t>
      </w:r>
      <w:r>
        <w:rPr>
          <w:rStyle w:val="NormalCharacter"/>
          <w:rFonts w:ascii="宋体" w:eastAsia="宋体" w:hAnsi="宋体" w:cs="方正仿宋简体" w:hint="eastAsia"/>
          <w:color w:val="auto"/>
          <w:szCs w:val="24"/>
        </w:rPr>
        <w:t>》就突出强调</w:t>
      </w:r>
      <w:r>
        <w:rPr>
          <w:rStyle w:val="NormalCharacter"/>
          <w:rFonts w:ascii="宋体" w:eastAsia="宋体" w:hAnsi="宋体" w:cs="方正仿宋简体"/>
          <w:color w:val="auto"/>
          <w:szCs w:val="24"/>
        </w:rPr>
        <w:t>研究生导师激励与问责管理办法</w:t>
      </w:r>
      <w:r>
        <w:rPr>
          <w:rStyle w:val="NormalCharacter"/>
          <w:rFonts w:ascii="宋体" w:eastAsia="宋体" w:hAnsi="宋体" w:cs="方正仿宋简体" w:hint="eastAsia"/>
          <w:color w:val="auto"/>
          <w:szCs w:val="24"/>
        </w:rPr>
        <w:t>制定和实施</w:t>
      </w:r>
      <w:r>
        <w:rPr>
          <w:rStyle w:val="NormalCharacter"/>
          <w:rFonts w:ascii="宋体" w:eastAsia="宋体" w:hAnsi="宋体" w:cs="方正仿宋简体"/>
          <w:color w:val="auto"/>
          <w:szCs w:val="24"/>
        </w:rPr>
        <w:t>。</w:t>
      </w:r>
    </w:p>
    <w:p w:rsidR="00560F7F" w:rsidRDefault="00D4483B">
      <w:pPr>
        <w:pStyle w:val="3"/>
        <w:spacing w:line="400" w:lineRule="exact"/>
        <w:ind w:firstLine="480"/>
        <w:rPr>
          <w:rStyle w:val="NormalCharacter"/>
          <w:rFonts w:ascii="仿宋" w:eastAsia="仿宋" w:hAnsi="仿宋" w:cs="方正仿宋简体"/>
          <w:color w:val="auto"/>
          <w:sz w:val="28"/>
          <w:szCs w:val="21"/>
        </w:rPr>
      </w:pPr>
      <w:r>
        <w:rPr>
          <w:rStyle w:val="NormalCharacter"/>
          <w:rFonts w:ascii="宋体" w:eastAsia="宋体" w:hAnsi="宋体" w:cs="方正仿宋简体"/>
          <w:color w:val="auto"/>
          <w:szCs w:val="24"/>
        </w:rPr>
        <w:t>重视</w:t>
      </w:r>
      <w:r>
        <w:rPr>
          <w:rStyle w:val="NormalCharacter"/>
          <w:rFonts w:ascii="宋体" w:eastAsia="宋体" w:hAnsi="宋体" w:cs="方正仿宋简体" w:hint="eastAsia"/>
          <w:color w:val="auto"/>
          <w:szCs w:val="24"/>
        </w:rPr>
        <w:t>形成“比学赶帮超”的学习文化，</w:t>
      </w:r>
      <w:r>
        <w:rPr>
          <w:rStyle w:val="NormalCharacter"/>
          <w:rFonts w:ascii="宋体" w:eastAsia="宋体" w:hAnsi="宋体" w:cs="方正仿宋简体"/>
          <w:color w:val="auto"/>
          <w:szCs w:val="24"/>
        </w:rPr>
        <w:t>提高研究生的综合素质，为研究生提供前沿性研究方向及开展学术研究的基础。本点每学期至少邀请一位国际商务领域知名专家到校进行学术报告，开拓学生视野，提供学生与学术专家交流的机会，同时，严格执行研究生学习汇报制度，研究生每两周向导师组或课题组报告一次科研进展情况。</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2.4 日常管理服务工作</w:t>
      </w:r>
    </w:p>
    <w:p w:rsidR="00560F7F" w:rsidRDefault="00D4483B">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color w:val="auto"/>
          <w:szCs w:val="24"/>
        </w:rPr>
        <w:t>完善制度，优化服务</w:t>
      </w:r>
      <w:r>
        <w:rPr>
          <w:rStyle w:val="NormalCharacter"/>
          <w:rFonts w:ascii="宋体" w:eastAsia="宋体" w:hAnsi="宋体" w:cs="方正仿宋简体" w:hint="eastAsia"/>
          <w:color w:val="auto"/>
          <w:szCs w:val="24"/>
        </w:rPr>
        <w:t>。</w:t>
      </w:r>
      <w:r>
        <w:rPr>
          <w:rStyle w:val="NormalCharacter"/>
          <w:rFonts w:ascii="宋体" w:eastAsia="宋体" w:hAnsi="宋体" w:cs="方正仿宋简体"/>
          <w:color w:val="auto"/>
          <w:szCs w:val="24"/>
        </w:rPr>
        <w:t>专门制定了《研究生手册》</w:t>
      </w:r>
      <w:r>
        <w:rPr>
          <w:rStyle w:val="NormalCharacter"/>
          <w:rFonts w:ascii="宋体" w:eastAsia="宋体" w:hAnsi="宋体" w:cs="方正仿宋简体" w:hint="eastAsia"/>
          <w:color w:val="auto"/>
          <w:szCs w:val="24"/>
        </w:rPr>
        <w:t>，</w:t>
      </w:r>
      <w:r>
        <w:rPr>
          <w:rStyle w:val="NormalCharacter"/>
          <w:rFonts w:ascii="宋体" w:eastAsia="宋体" w:hAnsi="宋体" w:cs="方正仿宋简体"/>
          <w:color w:val="auto"/>
          <w:szCs w:val="24"/>
        </w:rPr>
        <w:t>同时配套制定了相关的制度，加强管理与服务。在具体工作中，</w:t>
      </w:r>
      <w:r>
        <w:rPr>
          <w:rStyle w:val="NormalCharacter"/>
          <w:rFonts w:ascii="宋体" w:eastAsia="宋体" w:hAnsi="宋体" w:cs="方正仿宋简体" w:hint="eastAsia"/>
          <w:color w:val="auto"/>
          <w:szCs w:val="24"/>
        </w:rPr>
        <w:t>学位点</w:t>
      </w:r>
      <w:r>
        <w:rPr>
          <w:rStyle w:val="NormalCharacter"/>
          <w:rFonts w:ascii="宋体" w:eastAsia="宋体" w:hAnsi="宋体" w:cs="方正仿宋简体"/>
          <w:color w:val="auto"/>
          <w:szCs w:val="24"/>
        </w:rPr>
        <w:t>重视对学生意见的收集与整理，信息渠道畅通；学生通过微信、QQ、信箱等方式，都能够与老师进行有效沟通。</w:t>
      </w:r>
    </w:p>
    <w:p w:rsidR="00560F7F" w:rsidRDefault="00D4483B">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hint="eastAsia"/>
          <w:color w:val="auto"/>
          <w:szCs w:val="24"/>
        </w:rPr>
        <w:t xml:space="preserve">重视考勤，强化管理。为了树立良好的学风，为学生提供风清气正的学习环境，学院制定了规范、完整的学生考勤制度。 </w:t>
      </w:r>
    </w:p>
    <w:p w:rsidR="00560F7F" w:rsidRDefault="00D4483B">
      <w:pPr>
        <w:pStyle w:val="3"/>
        <w:spacing w:line="400" w:lineRule="exact"/>
        <w:ind w:firstLine="480"/>
        <w:rPr>
          <w:rStyle w:val="NormalCharacter"/>
          <w:rFonts w:ascii="宋体" w:eastAsia="宋体" w:hAnsi="宋体" w:cs="方正仿宋简体"/>
          <w:color w:val="auto"/>
          <w:szCs w:val="24"/>
        </w:rPr>
      </w:pPr>
      <w:r>
        <w:rPr>
          <w:rStyle w:val="NormalCharacter"/>
          <w:rFonts w:ascii="宋体" w:eastAsia="宋体" w:hAnsi="宋体" w:cs="方正仿宋简体" w:hint="eastAsia"/>
          <w:color w:val="auto"/>
          <w:szCs w:val="24"/>
        </w:rPr>
        <w:t>建立满意度反馈机制。为了解毕业生的满意度，每年对已毕业研究生进行满意度问卷调查。</w:t>
      </w:r>
    </w:p>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t>3 研究生培养相关制定及执行情况</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3.1 课程建设与实施情况</w:t>
      </w:r>
    </w:p>
    <w:p w:rsidR="00560F7F" w:rsidRDefault="00D4483B" w:rsidP="004E4521">
      <w:pPr>
        <w:spacing w:beforeLines="50" w:line="400" w:lineRule="exact"/>
        <w:rPr>
          <w:rStyle w:val="NormalCharacter"/>
          <w:rFonts w:ascii="黑体" w:eastAsia="黑体" w:hAnsi="黑体" w:cs="方正仿宋简体"/>
          <w:bCs/>
          <w:sz w:val="26"/>
          <w:szCs w:val="26"/>
        </w:rPr>
      </w:pPr>
      <w:r>
        <w:rPr>
          <w:rStyle w:val="NormalCharacter"/>
          <w:rFonts w:ascii="黑体" w:eastAsia="黑体" w:hAnsi="黑体" w:cs="方正仿宋简体" w:hint="eastAsia"/>
          <w:bCs/>
          <w:sz w:val="26"/>
          <w:szCs w:val="26"/>
        </w:rPr>
        <w:t>3.1.1 根据特色设置符合培养目标要求的课程体系</w:t>
      </w:r>
    </w:p>
    <w:p w:rsidR="00560F7F" w:rsidRDefault="00D4483B">
      <w:pPr>
        <w:snapToGrid w:val="0"/>
        <w:spacing w:line="400" w:lineRule="exact"/>
        <w:ind w:firstLineChars="200" w:firstLine="480"/>
        <w:jc w:val="left"/>
        <w:rPr>
          <w:rFonts w:ascii="宋体" w:eastAsia="宋体" w:hAnsi="宋体" w:cs="方正仿宋简体"/>
          <w:bCs/>
          <w:sz w:val="24"/>
          <w:szCs w:val="24"/>
        </w:rPr>
      </w:pPr>
      <w:r>
        <w:rPr>
          <w:rFonts w:ascii="宋体" w:eastAsia="宋体" w:hAnsi="宋体" w:cs="方正仿宋简体" w:hint="eastAsia"/>
          <w:bCs/>
          <w:sz w:val="24"/>
          <w:szCs w:val="24"/>
        </w:rPr>
        <w:t>为贯彻落实习近平新时代中国特色社会主义思想和党的教育方针，适应新时期经济社会发展对高层次人才的需求，全面提高我校硕士研究生培养质量，强调课程内容的实践性和应用性，侧重于以“职业能力”作为构建实践教学体系的逻辑出发点和落脚点，围绕实践教学目标——“注重理论与实践相互融通，使理论实践化，侧重培养学生的专业技能，又使实践理论化，培养反思型实践者，使学生成为既具备实践能力，又具有反思精神、创新意识、研究能力”。</w:t>
      </w:r>
      <w:r>
        <w:rPr>
          <w:rStyle w:val="fontstyle11"/>
          <w:rFonts w:hint="default"/>
        </w:rPr>
        <w:t>建立了以实践能力和职业能力培养为核心的课程体系，包括公共必修课、专业基础课、 专业核心课、方向选修课和自由选修课五大模块，体现在国际贸易、跨境电子商务和国际经济合作三个培养方向，并</w:t>
      </w:r>
      <w:r>
        <w:rPr>
          <w:rFonts w:ascii="宋体" w:eastAsia="宋体" w:hAnsi="宋体" w:cs="方正仿宋简体" w:hint="eastAsia"/>
          <w:bCs/>
          <w:sz w:val="24"/>
          <w:szCs w:val="24"/>
        </w:rPr>
        <w:t>结合我校职业教育背景，开设了《教育教学实践》课程。</w:t>
      </w:r>
    </w:p>
    <w:p w:rsidR="00560F7F" w:rsidRDefault="00D4483B" w:rsidP="004E4521">
      <w:pPr>
        <w:spacing w:beforeLines="50" w:line="400" w:lineRule="exact"/>
        <w:rPr>
          <w:rStyle w:val="NormalCharacter"/>
          <w:rFonts w:ascii="黑体" w:eastAsia="黑体" w:hAnsi="黑体" w:cs="方正仿宋简体"/>
          <w:bCs/>
          <w:sz w:val="26"/>
          <w:szCs w:val="26"/>
        </w:rPr>
      </w:pPr>
      <w:r>
        <w:rPr>
          <w:rStyle w:val="NormalCharacter"/>
          <w:rFonts w:ascii="黑体" w:eastAsia="黑体" w:hAnsi="黑体" w:cs="方正仿宋简体" w:hint="eastAsia"/>
          <w:bCs/>
          <w:sz w:val="26"/>
          <w:szCs w:val="26"/>
        </w:rPr>
        <w:lastRenderedPageBreak/>
        <w:t>3.1.2教研教改效果良好</w:t>
      </w:r>
    </w:p>
    <w:p w:rsidR="00560F7F" w:rsidRDefault="00D4483B">
      <w:pPr>
        <w:pStyle w:val="a6"/>
        <w:spacing w:line="360" w:lineRule="auto"/>
        <w:ind w:firstLineChars="200" w:firstLine="480"/>
        <w:rPr>
          <w:rStyle w:val="NormalCharacter"/>
          <w:rFonts w:ascii="宋体" w:eastAsia="宋体" w:hAnsi="宋体" w:cs="方正仿宋简体"/>
          <w:szCs w:val="24"/>
        </w:rPr>
      </w:pPr>
      <w:r>
        <w:rPr>
          <w:rStyle w:val="NormalCharacter"/>
          <w:rFonts w:ascii="宋体" w:eastAsia="宋体" w:hAnsi="宋体" w:cs="方正仿宋简体" w:hint="eastAsia"/>
          <w:szCs w:val="24"/>
        </w:rPr>
        <w:t>本学位点在教研教改方面取得了一定的成就，具体见下表2：</w:t>
      </w:r>
    </w:p>
    <w:p w:rsidR="00560F7F" w:rsidRDefault="00D4483B" w:rsidP="004E4521">
      <w:pPr>
        <w:pStyle w:val="a6"/>
        <w:spacing w:beforeLines="50"/>
        <w:ind w:firstLineChars="200" w:firstLine="42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表2 学生竞赛获奖情况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52"/>
        <w:gridCol w:w="1843"/>
        <w:gridCol w:w="3452"/>
      </w:tblGrid>
      <w:tr w:rsidR="00560F7F">
        <w:trPr>
          <w:trHeight w:val="374"/>
          <w:jc w:val="center"/>
        </w:trPr>
        <w:tc>
          <w:tcPr>
            <w:tcW w:w="675"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序号</w:t>
            </w:r>
          </w:p>
        </w:tc>
        <w:tc>
          <w:tcPr>
            <w:tcW w:w="2552"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成果名称</w:t>
            </w:r>
          </w:p>
        </w:tc>
        <w:tc>
          <w:tcPr>
            <w:tcW w:w="1843"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取得成果的年月</w:t>
            </w:r>
          </w:p>
        </w:tc>
        <w:tc>
          <w:tcPr>
            <w:tcW w:w="3452"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获奖情况</w:t>
            </w:r>
          </w:p>
        </w:tc>
      </w:tr>
      <w:tr w:rsidR="00560F7F">
        <w:trPr>
          <w:trHeight w:val="90"/>
          <w:jc w:val="center"/>
        </w:trPr>
        <w:tc>
          <w:tcPr>
            <w:tcW w:w="675"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2552" w:type="dxa"/>
          </w:tcPr>
          <w:p w:rsidR="00560F7F" w:rsidRDefault="00D4483B">
            <w:pPr>
              <w:pStyle w:val="TableParagraph"/>
              <w:adjustRightInd w:val="0"/>
              <w:snapToGrid w:val="0"/>
              <w:jc w:val="both"/>
              <w:rPr>
                <w:rFonts w:cs="仿宋"/>
                <w:color w:val="000000"/>
                <w:sz w:val="21"/>
                <w:szCs w:val="21"/>
              </w:rPr>
            </w:pPr>
            <w:r>
              <w:rPr>
                <w:rFonts w:hint="eastAsia"/>
                <w:sz w:val="21"/>
                <w:szCs w:val="21"/>
              </w:rPr>
              <w:t>“</w:t>
            </w:r>
            <w:r>
              <w:rPr>
                <w:sz w:val="21"/>
                <w:szCs w:val="21"/>
              </w:rPr>
              <w:t>知翰杯</w:t>
            </w:r>
            <w:r>
              <w:rPr>
                <w:rFonts w:hint="eastAsia"/>
                <w:sz w:val="21"/>
                <w:szCs w:val="21"/>
              </w:rPr>
              <w:t>”</w:t>
            </w:r>
            <w:r>
              <w:rPr>
                <w:sz w:val="21"/>
                <w:szCs w:val="21"/>
              </w:rPr>
              <w:t>挑战赛全国总决赛</w:t>
            </w:r>
          </w:p>
        </w:tc>
        <w:tc>
          <w:tcPr>
            <w:tcW w:w="1843"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仿宋" w:hint="eastAsia"/>
                <w:color w:val="000000"/>
                <w:szCs w:val="21"/>
              </w:rPr>
              <w:t>2022.09</w:t>
            </w:r>
          </w:p>
        </w:tc>
        <w:tc>
          <w:tcPr>
            <w:tcW w:w="3452" w:type="dxa"/>
            <w:vAlign w:val="center"/>
          </w:tcPr>
          <w:p w:rsidR="00560F7F" w:rsidRDefault="00D4483B">
            <w:pPr>
              <w:adjustRightInd w:val="0"/>
              <w:snapToGrid w:val="0"/>
              <w:rPr>
                <w:rFonts w:ascii="宋体" w:eastAsia="宋体" w:hAnsi="宋体" w:cs="仿宋"/>
                <w:color w:val="000000"/>
                <w:szCs w:val="21"/>
              </w:rPr>
            </w:pPr>
            <w:r>
              <w:rPr>
                <w:rFonts w:ascii="宋体" w:eastAsia="宋体" w:hAnsi="宋体" w:hint="eastAsia"/>
                <w:szCs w:val="21"/>
              </w:rPr>
              <w:t>获特等奖1项。</w:t>
            </w:r>
          </w:p>
        </w:tc>
      </w:tr>
      <w:tr w:rsidR="00560F7F">
        <w:trPr>
          <w:trHeight w:val="373"/>
          <w:jc w:val="center"/>
        </w:trPr>
        <w:tc>
          <w:tcPr>
            <w:tcW w:w="675"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2552" w:type="dxa"/>
          </w:tcPr>
          <w:p w:rsidR="00560F7F" w:rsidRDefault="00D4483B">
            <w:pPr>
              <w:pStyle w:val="TableParagraph"/>
              <w:adjustRightInd w:val="0"/>
              <w:snapToGrid w:val="0"/>
              <w:jc w:val="both"/>
              <w:rPr>
                <w:rFonts w:cs="仿宋"/>
                <w:color w:val="000000"/>
                <w:sz w:val="21"/>
                <w:szCs w:val="21"/>
              </w:rPr>
            </w:pPr>
            <w:r>
              <w:rPr>
                <w:sz w:val="21"/>
                <w:szCs w:val="21"/>
              </w:rPr>
              <w:t>第六届全国跨境电商专业能力大赛</w:t>
            </w:r>
          </w:p>
        </w:tc>
        <w:tc>
          <w:tcPr>
            <w:tcW w:w="1843"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2022.12</w:t>
            </w:r>
          </w:p>
        </w:tc>
        <w:tc>
          <w:tcPr>
            <w:tcW w:w="3452" w:type="dxa"/>
            <w:vAlign w:val="center"/>
          </w:tcPr>
          <w:p w:rsidR="00560F7F" w:rsidRDefault="00D4483B">
            <w:pPr>
              <w:adjustRightInd w:val="0"/>
              <w:snapToGrid w:val="0"/>
              <w:rPr>
                <w:rFonts w:ascii="宋体" w:eastAsia="宋体" w:hAnsi="宋体" w:cs="仿宋"/>
                <w:color w:val="000000"/>
                <w:szCs w:val="21"/>
              </w:rPr>
            </w:pPr>
            <w:r>
              <w:rPr>
                <w:rFonts w:ascii="宋体" w:eastAsia="宋体" w:hAnsi="宋体" w:hint="eastAsia"/>
                <w:szCs w:val="21"/>
              </w:rPr>
              <w:t>获</w:t>
            </w:r>
            <w:r>
              <w:rPr>
                <w:rFonts w:ascii="宋体" w:eastAsia="宋体" w:hAnsi="宋体"/>
                <w:szCs w:val="21"/>
              </w:rPr>
              <w:t>一等奖</w:t>
            </w:r>
            <w:r>
              <w:rPr>
                <w:rFonts w:ascii="宋体" w:eastAsia="宋体" w:hAnsi="宋体" w:hint="eastAsia"/>
                <w:szCs w:val="21"/>
              </w:rPr>
              <w:t>3项，二等奖1项，三等奖2项。</w:t>
            </w:r>
          </w:p>
        </w:tc>
      </w:tr>
      <w:tr w:rsidR="00560F7F">
        <w:trPr>
          <w:trHeight w:val="317"/>
          <w:jc w:val="center"/>
        </w:trPr>
        <w:tc>
          <w:tcPr>
            <w:tcW w:w="675"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2552" w:type="dxa"/>
          </w:tcPr>
          <w:p w:rsidR="00560F7F" w:rsidRDefault="00D4483B">
            <w:pPr>
              <w:pStyle w:val="TableParagraph"/>
              <w:adjustRightInd w:val="0"/>
              <w:snapToGrid w:val="0"/>
              <w:jc w:val="both"/>
              <w:rPr>
                <w:rFonts w:cs="仿宋"/>
                <w:color w:val="000000"/>
                <w:sz w:val="21"/>
                <w:szCs w:val="21"/>
              </w:rPr>
            </w:pPr>
            <w:r>
              <w:rPr>
                <w:sz w:val="21"/>
                <w:szCs w:val="21"/>
              </w:rPr>
              <w:t>第七届2022全国工商管理技能大赛</w:t>
            </w:r>
          </w:p>
        </w:tc>
        <w:tc>
          <w:tcPr>
            <w:tcW w:w="1843"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2022.12</w:t>
            </w:r>
          </w:p>
        </w:tc>
        <w:tc>
          <w:tcPr>
            <w:tcW w:w="3452" w:type="dxa"/>
            <w:vAlign w:val="center"/>
          </w:tcPr>
          <w:p w:rsidR="00560F7F" w:rsidRDefault="00D4483B">
            <w:pPr>
              <w:adjustRightInd w:val="0"/>
              <w:snapToGrid w:val="0"/>
              <w:rPr>
                <w:rFonts w:ascii="宋体" w:eastAsia="宋体" w:hAnsi="宋体" w:cs="仿宋"/>
                <w:color w:val="000000"/>
                <w:szCs w:val="21"/>
              </w:rPr>
            </w:pPr>
            <w:r>
              <w:rPr>
                <w:rFonts w:ascii="宋体" w:eastAsia="宋体" w:hAnsi="宋体" w:hint="eastAsia"/>
                <w:szCs w:val="21"/>
              </w:rPr>
              <w:t>获</w:t>
            </w:r>
            <w:r>
              <w:rPr>
                <w:rFonts w:ascii="宋体" w:eastAsia="宋体" w:hAnsi="宋体"/>
                <w:szCs w:val="21"/>
              </w:rPr>
              <w:t>一等奖</w:t>
            </w:r>
            <w:r>
              <w:rPr>
                <w:rFonts w:ascii="宋体" w:eastAsia="宋体" w:hAnsi="宋体" w:hint="eastAsia"/>
                <w:szCs w:val="21"/>
              </w:rPr>
              <w:t>2项，</w:t>
            </w:r>
            <w:r>
              <w:rPr>
                <w:rFonts w:ascii="宋体" w:eastAsia="宋体" w:hAnsi="宋体"/>
                <w:szCs w:val="21"/>
              </w:rPr>
              <w:t>三等奖</w:t>
            </w:r>
            <w:r>
              <w:rPr>
                <w:rFonts w:ascii="宋体" w:eastAsia="宋体" w:hAnsi="宋体" w:hint="eastAsia"/>
                <w:szCs w:val="21"/>
              </w:rPr>
              <w:t>1项。</w:t>
            </w:r>
          </w:p>
        </w:tc>
      </w:tr>
      <w:tr w:rsidR="00560F7F">
        <w:trPr>
          <w:trHeight w:val="317"/>
          <w:jc w:val="center"/>
        </w:trPr>
        <w:tc>
          <w:tcPr>
            <w:tcW w:w="675"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2552" w:type="dxa"/>
          </w:tcPr>
          <w:p w:rsidR="00560F7F" w:rsidRDefault="00D4483B">
            <w:pPr>
              <w:pStyle w:val="TableParagraph"/>
              <w:adjustRightInd w:val="0"/>
              <w:snapToGrid w:val="0"/>
              <w:jc w:val="both"/>
              <w:rPr>
                <w:rFonts w:cs="仿宋"/>
                <w:color w:val="000000"/>
                <w:sz w:val="21"/>
                <w:szCs w:val="21"/>
              </w:rPr>
            </w:pPr>
            <w:r>
              <w:rPr>
                <w:sz w:val="21"/>
                <w:szCs w:val="21"/>
              </w:rPr>
              <w:t>江西省大学生科技创新竞赛</w:t>
            </w:r>
          </w:p>
        </w:tc>
        <w:tc>
          <w:tcPr>
            <w:tcW w:w="1843" w:type="dxa"/>
            <w:vAlign w:val="center"/>
          </w:tcPr>
          <w:p w:rsidR="00560F7F" w:rsidRDefault="00560F7F">
            <w:pPr>
              <w:adjustRightInd w:val="0"/>
              <w:snapToGrid w:val="0"/>
              <w:jc w:val="center"/>
              <w:rPr>
                <w:rFonts w:ascii="宋体" w:eastAsia="宋体" w:hAnsi="宋体" w:cs="仿宋"/>
                <w:color w:val="000000"/>
                <w:szCs w:val="21"/>
              </w:rPr>
            </w:pPr>
          </w:p>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2022.12</w:t>
            </w:r>
          </w:p>
        </w:tc>
        <w:tc>
          <w:tcPr>
            <w:tcW w:w="3452" w:type="dxa"/>
            <w:vAlign w:val="center"/>
          </w:tcPr>
          <w:p w:rsidR="00560F7F" w:rsidRDefault="00D4483B">
            <w:pPr>
              <w:adjustRightInd w:val="0"/>
              <w:snapToGrid w:val="0"/>
              <w:rPr>
                <w:rFonts w:ascii="宋体" w:eastAsia="宋体" w:hAnsi="宋体" w:cs="仿宋"/>
                <w:color w:val="000000"/>
                <w:szCs w:val="21"/>
              </w:rPr>
            </w:pPr>
            <w:r>
              <w:rPr>
                <w:rFonts w:ascii="宋体" w:eastAsia="宋体" w:hAnsi="宋体" w:hint="eastAsia"/>
                <w:szCs w:val="21"/>
              </w:rPr>
              <w:t>获二等奖2项，</w:t>
            </w:r>
            <w:r>
              <w:rPr>
                <w:rFonts w:ascii="宋体" w:eastAsia="宋体" w:hAnsi="宋体"/>
                <w:szCs w:val="21"/>
              </w:rPr>
              <w:t>三等奖</w:t>
            </w:r>
            <w:r>
              <w:rPr>
                <w:rFonts w:ascii="宋体" w:eastAsia="宋体" w:hAnsi="宋体" w:hint="eastAsia"/>
                <w:szCs w:val="21"/>
              </w:rPr>
              <w:t>2项。</w:t>
            </w:r>
          </w:p>
        </w:tc>
      </w:tr>
      <w:tr w:rsidR="00560F7F">
        <w:trPr>
          <w:trHeight w:val="317"/>
          <w:jc w:val="center"/>
        </w:trPr>
        <w:tc>
          <w:tcPr>
            <w:tcW w:w="675" w:type="dxa"/>
            <w:vAlign w:val="center"/>
          </w:tcPr>
          <w:p w:rsidR="00560F7F" w:rsidRDefault="00D4483B">
            <w:pPr>
              <w:adjustRightInd w:val="0"/>
              <w:snapToGrid w:val="0"/>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2552" w:type="dxa"/>
          </w:tcPr>
          <w:p w:rsidR="00560F7F" w:rsidRDefault="00D4483B">
            <w:pPr>
              <w:pStyle w:val="TableParagraph"/>
              <w:adjustRightInd w:val="0"/>
              <w:snapToGrid w:val="0"/>
              <w:jc w:val="both"/>
              <w:rPr>
                <w:sz w:val="21"/>
                <w:szCs w:val="21"/>
              </w:rPr>
            </w:pPr>
            <w:r>
              <w:rPr>
                <w:rFonts w:hint="eastAsia"/>
                <w:sz w:val="21"/>
                <w:szCs w:val="21"/>
              </w:rPr>
              <w:t>全国高校商业精英挑战赛国际贸易竞赛</w:t>
            </w:r>
          </w:p>
        </w:tc>
        <w:tc>
          <w:tcPr>
            <w:tcW w:w="1843" w:type="dxa"/>
            <w:vAlign w:val="center"/>
          </w:tcPr>
          <w:p w:rsidR="00560F7F" w:rsidRDefault="00D4483B">
            <w:pPr>
              <w:adjustRightInd w:val="0"/>
              <w:snapToGrid w:val="0"/>
              <w:jc w:val="center"/>
              <w:rPr>
                <w:rFonts w:ascii="宋体" w:eastAsia="宋体" w:hAnsi="宋体" w:cs="仿宋"/>
                <w:color w:val="000000"/>
                <w:szCs w:val="21"/>
              </w:rPr>
            </w:pPr>
            <w:r>
              <w:rPr>
                <w:rFonts w:ascii="宋体" w:eastAsia="宋体" w:hAnsi="宋体" w:cs="仿宋" w:hint="eastAsia"/>
                <w:color w:val="000000"/>
                <w:szCs w:val="21"/>
              </w:rPr>
              <w:t>2022.11</w:t>
            </w:r>
          </w:p>
        </w:tc>
        <w:tc>
          <w:tcPr>
            <w:tcW w:w="3452" w:type="dxa"/>
            <w:vAlign w:val="center"/>
          </w:tcPr>
          <w:p w:rsidR="00560F7F" w:rsidRDefault="00D4483B">
            <w:pPr>
              <w:adjustRightInd w:val="0"/>
              <w:snapToGrid w:val="0"/>
              <w:rPr>
                <w:rFonts w:ascii="宋体" w:eastAsia="宋体" w:hAnsi="宋体"/>
                <w:szCs w:val="21"/>
              </w:rPr>
            </w:pPr>
            <w:r>
              <w:rPr>
                <w:rFonts w:ascii="宋体" w:eastAsia="宋体" w:hAnsi="宋体" w:hint="eastAsia"/>
                <w:szCs w:val="21"/>
              </w:rPr>
              <w:t>获二等奖1项，三等奖7项。</w:t>
            </w:r>
          </w:p>
        </w:tc>
      </w:tr>
    </w:tbl>
    <w:p w:rsidR="00560F7F" w:rsidRDefault="00D4483B" w:rsidP="004E4521">
      <w:pPr>
        <w:spacing w:beforeLines="50" w:line="400" w:lineRule="exact"/>
        <w:rPr>
          <w:rStyle w:val="NormalCharacter"/>
          <w:rFonts w:ascii="黑体" w:eastAsia="黑体" w:hAnsi="黑体" w:cs="方正仿宋简体"/>
          <w:bCs/>
          <w:sz w:val="26"/>
          <w:szCs w:val="26"/>
        </w:rPr>
      </w:pPr>
      <w:r>
        <w:rPr>
          <w:rStyle w:val="NormalCharacter"/>
          <w:rFonts w:ascii="黑体" w:eastAsia="黑体" w:hAnsi="黑体" w:cs="方正仿宋简体" w:hint="eastAsia"/>
          <w:bCs/>
          <w:sz w:val="26"/>
          <w:szCs w:val="26"/>
        </w:rPr>
        <w:t>3.1.3建立健全了课程教学质量和保障措施体系</w:t>
      </w:r>
    </w:p>
    <w:p w:rsidR="00560F7F" w:rsidRDefault="00D4483B">
      <w:pPr>
        <w:spacing w:line="400" w:lineRule="exact"/>
        <w:ind w:firstLineChars="200" w:firstLine="480"/>
        <w:rPr>
          <w:rStyle w:val="NormalCharacter"/>
          <w:rFonts w:ascii="宋体" w:eastAsia="宋体" w:hAnsi="宋体" w:cs="方正仿宋简体"/>
          <w:szCs w:val="24"/>
        </w:rPr>
      </w:pPr>
      <w:r>
        <w:rPr>
          <w:rStyle w:val="NormalCharacter"/>
          <w:rFonts w:ascii="宋体" w:eastAsia="宋体" w:hAnsi="宋体" w:cs="方正仿宋简体" w:hint="eastAsia"/>
          <w:szCs w:val="24"/>
        </w:rPr>
        <w:t>本学位点为了达到“提高研究生培养质量”核心目标，在保持生师比2:1的条件下采用精准教育、量身定制了新进研究生的职业规划，同时不断创新研究生培养机制，建立健全了课程教学质量和保障体系（《江西科技师范大学硕士研究生课程学习及成绩管理办法》等）。</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3.2 导师选拔培训</w:t>
      </w:r>
    </w:p>
    <w:p w:rsidR="00560F7F" w:rsidRDefault="00D4483B">
      <w:pPr>
        <w:spacing w:line="400" w:lineRule="exact"/>
        <w:ind w:firstLineChars="200" w:firstLine="480"/>
        <w:rPr>
          <w:rFonts w:ascii="宋体" w:eastAsia="宋体" w:hAnsi="宋体"/>
          <w:sz w:val="24"/>
          <w:szCs w:val="24"/>
        </w:rPr>
      </w:pPr>
      <w:r>
        <w:rPr>
          <w:rFonts w:ascii="宋体" w:eastAsia="宋体" w:hAnsi="宋体" w:cs="方正仿宋简体" w:hint="eastAsia"/>
          <w:bCs/>
          <w:sz w:val="24"/>
          <w:szCs w:val="24"/>
        </w:rPr>
        <w:t>根据我校《江西科技师范大学硕士研究生指导教师管理办法》，</w:t>
      </w:r>
      <w:r>
        <w:rPr>
          <w:rFonts w:ascii="宋体" w:eastAsia="宋体" w:hAnsi="宋体"/>
          <w:sz w:val="24"/>
          <w:szCs w:val="24"/>
        </w:rPr>
        <w:t>建成一支具有较高学术水准、深厚职业背景、丰富实践经验的导师队伍，包括</w:t>
      </w:r>
      <w:r>
        <w:rPr>
          <w:rFonts w:ascii="宋体" w:eastAsia="宋体" w:hAnsi="宋体" w:hint="eastAsia"/>
          <w:sz w:val="24"/>
          <w:szCs w:val="24"/>
        </w:rPr>
        <w:t>“双师型”导师和</w:t>
      </w:r>
      <w:r>
        <w:rPr>
          <w:rFonts w:ascii="宋体" w:eastAsia="宋体" w:hAnsi="宋体"/>
          <w:sz w:val="24"/>
          <w:szCs w:val="24"/>
        </w:rPr>
        <w:t>具有商务经历的企业精英等。每位</w:t>
      </w:r>
      <w:r>
        <w:rPr>
          <w:rFonts w:ascii="宋体" w:eastAsia="宋体" w:hAnsi="宋体" w:hint="eastAsia"/>
          <w:sz w:val="24"/>
          <w:szCs w:val="24"/>
        </w:rPr>
        <w:t>国际商务</w:t>
      </w:r>
      <w:r>
        <w:rPr>
          <w:rFonts w:ascii="宋体" w:eastAsia="宋体" w:hAnsi="宋体"/>
          <w:sz w:val="24"/>
          <w:szCs w:val="24"/>
        </w:rPr>
        <w:t>学生接受一名校内导师和一名实践导师的共同指导</w:t>
      </w:r>
      <w:r>
        <w:rPr>
          <w:rFonts w:ascii="宋体" w:eastAsia="宋体" w:hAnsi="宋体" w:hint="eastAsia"/>
          <w:sz w:val="24"/>
          <w:szCs w:val="24"/>
        </w:rPr>
        <w:t>，现有校内“双师型”导师7名。</w:t>
      </w:r>
    </w:p>
    <w:p w:rsidR="00560F7F" w:rsidRDefault="00D4483B" w:rsidP="004E4521">
      <w:pPr>
        <w:spacing w:beforeLines="50" w:line="400" w:lineRule="exact"/>
        <w:rPr>
          <w:rStyle w:val="NormalCharacter"/>
          <w:rFonts w:ascii="黑体" w:eastAsia="黑体" w:hAnsi="黑体"/>
          <w:sz w:val="26"/>
          <w:szCs w:val="26"/>
        </w:rPr>
      </w:pPr>
      <w:r>
        <w:rPr>
          <w:rStyle w:val="NormalCharacter"/>
          <w:rFonts w:ascii="黑体" w:eastAsia="黑体" w:hAnsi="黑体" w:hint="eastAsia"/>
          <w:sz w:val="26"/>
          <w:szCs w:val="26"/>
        </w:rPr>
        <w:t>3.2.1校内专业学位硕导遴选基本条件</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（1）原则上应具有副教授及以上职称，或者具有博士学位，或者教学科研成绩突出，具有较强的专业实践工作能力的讲师。</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（2）能至少讲授1门本专业学位研究生的主要课程。</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（3）熟悉相关职业领域的工作，具有相关职业领域的工作经历或实践经历。</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（4）根据专业学位硕导的经费要求，理工科类可支配科研经费2万元以上，或横向到位经费5万元以上；人文社科可支配科研经费0.6万元以上，或横向到位经费3万元以上。</w:t>
      </w:r>
    </w:p>
    <w:p w:rsidR="00560F7F" w:rsidRDefault="00D4483B" w:rsidP="004E4521">
      <w:pPr>
        <w:spacing w:beforeLines="50" w:line="400" w:lineRule="exact"/>
        <w:rPr>
          <w:rStyle w:val="NormalCharacter"/>
          <w:rFonts w:ascii="黑体" w:eastAsia="黑体" w:hAnsi="黑体"/>
          <w:sz w:val="26"/>
          <w:szCs w:val="26"/>
        </w:rPr>
      </w:pPr>
      <w:r>
        <w:rPr>
          <w:rStyle w:val="NormalCharacter"/>
          <w:rFonts w:ascii="黑体" w:eastAsia="黑体" w:hAnsi="黑体" w:hint="eastAsia"/>
          <w:sz w:val="26"/>
          <w:szCs w:val="26"/>
        </w:rPr>
        <w:t>3.2.2校外专业学位硕导遴选基本条件</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（1）熟悉本专业学位人才培养特点和规律。</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（2）为相关专业实践领域的研究专家和业务骨干，具有较高业务水平和丰富从业经验。在相关工作领域有较高的声望，能起到行业带头人的作用。校外联合</w:t>
      </w:r>
      <w:r>
        <w:rPr>
          <w:rFonts w:ascii="宋体" w:eastAsia="宋体" w:hAnsi="宋体" w:cs="方正仿宋简体" w:hint="eastAsia"/>
          <w:bCs/>
          <w:sz w:val="24"/>
          <w:szCs w:val="24"/>
        </w:rPr>
        <w:lastRenderedPageBreak/>
        <w:t>培养基地、与学校有合作基础的政府机关、大中型企事业单位、行业、基础教育部门、科研院所等相关领域带头人优先。</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（3）可以讲授至少1门专业学位的主要课程。</w:t>
      </w:r>
    </w:p>
    <w:p w:rsidR="00560F7F" w:rsidRDefault="00D4483B">
      <w:pPr>
        <w:spacing w:line="400" w:lineRule="exact"/>
        <w:ind w:firstLineChars="150" w:firstLine="360"/>
        <w:outlineLvl w:val="2"/>
        <w:rPr>
          <w:rFonts w:ascii="宋体" w:eastAsia="宋体" w:hAnsi="宋体" w:cs="方正仿宋简体"/>
          <w:bCs/>
          <w:sz w:val="24"/>
          <w:szCs w:val="24"/>
        </w:rPr>
      </w:pPr>
      <w:r>
        <w:rPr>
          <w:rFonts w:ascii="宋体" w:eastAsia="宋体" w:hAnsi="宋体" w:cs="方正仿宋简体" w:hint="eastAsia"/>
          <w:bCs/>
          <w:sz w:val="24"/>
          <w:szCs w:val="24"/>
        </w:rPr>
        <w:t>（4）能够为研究生实习实践提供一定的条件和岗位。</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3.3 师德师风建设情况</w:t>
      </w:r>
    </w:p>
    <w:p w:rsidR="00560F7F" w:rsidRDefault="00D4483B" w:rsidP="004E4521">
      <w:pPr>
        <w:spacing w:beforeLines="50" w:line="400" w:lineRule="exact"/>
        <w:rPr>
          <w:rStyle w:val="NormalCharacter"/>
          <w:rFonts w:ascii="黑体" w:eastAsia="黑体" w:hAnsi="黑体"/>
          <w:sz w:val="26"/>
          <w:szCs w:val="26"/>
        </w:rPr>
      </w:pPr>
      <w:r>
        <w:rPr>
          <w:rStyle w:val="NormalCharacter"/>
          <w:rFonts w:ascii="黑体" w:eastAsia="黑体" w:hAnsi="黑体" w:hint="eastAsia"/>
          <w:sz w:val="26"/>
          <w:szCs w:val="26"/>
        </w:rPr>
        <w:t>3.3.1师德师风建设机制</w:t>
      </w:r>
    </w:p>
    <w:p w:rsidR="00560F7F" w:rsidRDefault="00D4483B">
      <w:pPr>
        <w:spacing w:line="400" w:lineRule="exact"/>
        <w:ind w:firstLineChars="200" w:firstLine="480"/>
        <w:outlineLvl w:val="2"/>
        <w:rPr>
          <w:rFonts w:ascii="宋体" w:eastAsia="宋体" w:hAnsi="宋体" w:cs="方正仿宋简体"/>
          <w:b/>
          <w:bCs/>
          <w:sz w:val="24"/>
          <w:szCs w:val="24"/>
        </w:rPr>
      </w:pPr>
      <w:r>
        <w:rPr>
          <w:rFonts w:ascii="宋体" w:eastAsia="宋体" w:hAnsi="宋体" w:cs="方正仿宋简体" w:hint="eastAsia"/>
          <w:bCs/>
          <w:sz w:val="24"/>
          <w:szCs w:val="24"/>
        </w:rPr>
        <w:t>坚持以习近平新时代中国特色社会主义思想为指导，加强师德师风建设是全面贯彻党的教育方针的根本保障。深入贯彻落实中共中央、国务院《关于全面深化新时代教师队伍建设改革的意见》、教育部《新时代高校教师职业行为十项准则》、江西省委省政府《关于全面深化新时代教师队伍建设改革的实施意见》与《江西省教师师德信用体系管理办法》等文件精神，我校出台了《江西科技师范大学落实研究生导师立德树人职责实施细则（试行文件）》。</w:t>
      </w:r>
    </w:p>
    <w:p w:rsidR="00560F7F" w:rsidRDefault="00D4483B">
      <w:pPr>
        <w:spacing w:line="400" w:lineRule="exact"/>
        <w:ind w:firstLineChars="196" w:firstLine="470"/>
        <w:outlineLvl w:val="2"/>
        <w:rPr>
          <w:rFonts w:ascii="宋体" w:eastAsia="宋体" w:hAnsi="宋体" w:cs="方正仿宋简体"/>
          <w:bCs/>
          <w:sz w:val="24"/>
          <w:szCs w:val="24"/>
        </w:rPr>
      </w:pPr>
      <w:r>
        <w:rPr>
          <w:rFonts w:ascii="宋体" w:eastAsia="宋体" w:hAnsi="宋体" w:cs="方正仿宋简体" w:hint="eastAsia"/>
          <w:bCs/>
          <w:sz w:val="24"/>
          <w:szCs w:val="24"/>
        </w:rPr>
        <w:t>完善新时代师德建设长效机制，推进师德师风建设工作常态化、长效化。实行“党委统一领导、党政齐抓共管、部门各司其责、教师自我约束”的师德师风建设机制，开展全校的师德师风建设专项督查。建立监督信箱和举报电话等师德投诉举报平台，畅通师德监督渠道，建立健全师德问题报告机制。强化研究生培养的课堂教学管理，健全课堂和教学纪律监控机制，如教学督导检查组不定期检查、调阅教学监控录像、学生信息员报告教学信息等形式，发现问题及时处理。</w:t>
      </w:r>
    </w:p>
    <w:p w:rsidR="00560F7F" w:rsidRDefault="00D4483B">
      <w:pPr>
        <w:spacing w:line="400" w:lineRule="exact"/>
        <w:ind w:firstLineChars="196" w:firstLine="470"/>
        <w:outlineLvl w:val="2"/>
        <w:rPr>
          <w:rFonts w:ascii="宋体" w:eastAsia="宋体" w:hAnsi="宋体" w:cs="方正仿宋简体"/>
          <w:bCs/>
          <w:sz w:val="24"/>
          <w:szCs w:val="24"/>
        </w:rPr>
      </w:pPr>
      <w:r>
        <w:rPr>
          <w:rFonts w:ascii="宋体" w:eastAsia="宋体" w:hAnsi="宋体" w:cs="方正仿宋简体" w:hint="eastAsia"/>
          <w:bCs/>
          <w:sz w:val="24"/>
          <w:szCs w:val="24"/>
        </w:rPr>
        <w:t>健全完善了师德培养、师德宣传、师德考核、师德监督、师德激励等方面的考核工作制度，从思想政治规范、业务工作规范、教书育人规范、为人师表等方面规范教师师德。对未能履行师德树人职责的导师，特别是存在“无科研项目、无科研经费、有超学习年限学生、有抽检不合格、学生论文有学术不端行为”等现象的导师，采取约谈、限招、停招、取消导师资格等处理措施，对于违反师德师风和违法乱纪行为的，实行零容忍和一票否决，依法依规坚决予以严肃处理。</w:t>
      </w:r>
    </w:p>
    <w:p w:rsidR="00560F7F" w:rsidRDefault="00D4483B" w:rsidP="004E4521">
      <w:pPr>
        <w:spacing w:beforeLines="50" w:line="400" w:lineRule="exact"/>
        <w:rPr>
          <w:rStyle w:val="NormalCharacter"/>
          <w:rFonts w:ascii="黑体" w:eastAsia="黑体" w:hAnsi="黑体"/>
          <w:sz w:val="26"/>
          <w:szCs w:val="26"/>
        </w:rPr>
      </w:pPr>
      <w:r>
        <w:rPr>
          <w:rStyle w:val="NormalCharacter"/>
          <w:rFonts w:ascii="黑体" w:eastAsia="黑体" w:hAnsi="黑体" w:hint="eastAsia"/>
          <w:sz w:val="26"/>
          <w:szCs w:val="26"/>
        </w:rPr>
        <w:t>3.3.2开展师德师风教育活动</w:t>
      </w:r>
    </w:p>
    <w:p w:rsidR="00560F7F" w:rsidRDefault="00D4483B">
      <w:pPr>
        <w:spacing w:line="400" w:lineRule="exact"/>
        <w:ind w:firstLineChars="200" w:firstLine="48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强化党建引领，注重思想铸魂，将提高思想政治素质放到首要位置。坚持和完善每周二下午的教师理论学习制度，建立理论学习系统化，常态化机制。组织教师学习《习近平总书记思政课教师座谈会上的重要讲话精神》、《习近平总书记等中央领导同志教师节重要讲话精神》、《新时代高校教师职业行为十项准则》、《江西省高校教师师德师范行为处理办法》和《江西省高等学校课堂教学纪律管理办法》等，通过开展一系列的师德师风教育活动，取得明显成效，导师对学生既有学业、思想上的刚性要求，又有生活、心理上的人文关怀，营造了良好的学术人气、人文风气。2022年，本学位点导师没有出现有悖师德师风的事件或意</w:t>
      </w:r>
      <w:r>
        <w:rPr>
          <w:rFonts w:asciiTheme="minorEastAsia" w:hAnsiTheme="minorEastAsia" w:cs="方正仿宋简体" w:hint="eastAsia"/>
          <w:bCs/>
          <w:sz w:val="24"/>
          <w:szCs w:val="24"/>
        </w:rPr>
        <w:lastRenderedPageBreak/>
        <w:t>识形态领域违规事件，形成了良好、积极、健康、和谐的师生关系。</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3.4 学术训练情况</w:t>
      </w:r>
    </w:p>
    <w:p w:rsidR="00560F7F" w:rsidRDefault="00D4483B">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研究生创新意识和创新能力的培养是研究生教育内涵式、高质量发展的重要任务。为强化研究生创新意识，提高研究生创新能力，推动我校研究生科技创新活动的深入开展，结合我校实际，修订了《研究生创新专项资金项目管理办法》，以鼓励我校研究生自主开展科学研究，激发研究生的创新实践活力。本学位点还专门开设了《</w:t>
      </w:r>
      <w:r>
        <w:rPr>
          <w:rFonts w:asciiTheme="minorEastAsia" w:hAnsiTheme="minorEastAsia" w:cs="宋体" w:hint="eastAsia"/>
          <w:kern w:val="0"/>
          <w:sz w:val="24"/>
          <w:szCs w:val="24"/>
        </w:rPr>
        <w:t>学术道德与论文写作</w:t>
      </w:r>
      <w:r>
        <w:rPr>
          <w:rFonts w:asciiTheme="minorEastAsia" w:hAnsiTheme="minorEastAsia" w:cs="方正仿宋简体" w:hint="eastAsia"/>
          <w:bCs/>
          <w:sz w:val="24"/>
          <w:szCs w:val="24"/>
        </w:rPr>
        <w:t>》、《计量经济学》和《经济学分析与应用》等</w:t>
      </w:r>
      <w:r>
        <w:rPr>
          <w:rFonts w:asciiTheme="minorEastAsia" w:hAnsiTheme="minorEastAsia"/>
          <w:sz w:val="24"/>
          <w:szCs w:val="24"/>
        </w:rPr>
        <w:t>方法论课程， 让学生系统学习和掌握国际商务研究范式和研究方法、工具。</w:t>
      </w:r>
      <w:r>
        <w:rPr>
          <w:rFonts w:asciiTheme="minorEastAsia" w:hAnsiTheme="minorEastAsia" w:cs="方正仿宋简体" w:hint="eastAsia"/>
          <w:bCs/>
          <w:sz w:val="24"/>
          <w:szCs w:val="24"/>
        </w:rPr>
        <w:t>2022年本学位点学生发表论文4篇，参与课题研究1项。</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3.5 学术交流情况</w:t>
      </w:r>
    </w:p>
    <w:p w:rsidR="00560F7F" w:rsidRDefault="00D4483B">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学校、学院和学位点大力支持师生参加国内外学术交流，积极开展硕士研究生学术专题活动。根据我校《江西科技师范大学硕士研究生参加学术专题（活动）的暂行规定》，学院每学期全额支助1次参加国内学术会议并宣讲；学术（专题）活动是我校研究生培养的一个必要环节，其学分（2学分）列入培养方案的总学分。2022年本学位点学生共参加学术讲座或活动共13次（表3）。</w:t>
      </w:r>
    </w:p>
    <w:p w:rsidR="00560F7F" w:rsidRDefault="00D4483B" w:rsidP="004E4521">
      <w:pPr>
        <w:widowControl/>
        <w:spacing w:beforeLines="50"/>
        <w:ind w:firstLineChars="200" w:firstLine="420"/>
        <w:jc w:val="center"/>
        <w:textAlignment w:val="baseline"/>
        <w:rPr>
          <w:rFonts w:asciiTheme="minorEastAsia" w:hAnsiTheme="minorEastAsia" w:cs="黑体"/>
          <w:szCs w:val="21"/>
        </w:rPr>
      </w:pPr>
      <w:r>
        <w:rPr>
          <w:rFonts w:asciiTheme="minorEastAsia" w:hAnsiTheme="minorEastAsia" w:cs="方正仿宋简体" w:hint="eastAsia"/>
          <w:bCs/>
          <w:szCs w:val="21"/>
        </w:rPr>
        <w:t>表3 2020年国际商务硕士点学生参加讲座情况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544"/>
        <w:gridCol w:w="1134"/>
        <w:gridCol w:w="1276"/>
        <w:gridCol w:w="1893"/>
      </w:tblGrid>
      <w:tr w:rsidR="00560F7F">
        <w:trPr>
          <w:trHeight w:val="90"/>
          <w:jc w:val="center"/>
        </w:trPr>
        <w:tc>
          <w:tcPr>
            <w:tcW w:w="675" w:type="dxa"/>
            <w:noWrap/>
            <w:vAlign w:val="center"/>
          </w:tcPr>
          <w:p w:rsidR="00560F7F" w:rsidRDefault="00D4483B">
            <w:pPr>
              <w:widowControl/>
              <w:adjustRightInd w:val="0"/>
              <w:snapToGrid w:val="0"/>
              <w:spacing w:before="60" w:after="60"/>
              <w:jc w:val="center"/>
              <w:rPr>
                <w:rFonts w:ascii="宋体" w:eastAsia="宋体" w:hAnsi="宋体" w:cs="宋体"/>
                <w:bCs/>
                <w:kern w:val="0"/>
                <w:szCs w:val="21"/>
              </w:rPr>
            </w:pPr>
            <w:r>
              <w:rPr>
                <w:rFonts w:ascii="宋体" w:eastAsia="宋体" w:hAnsi="宋体" w:cs="宋体" w:hint="eastAsia"/>
                <w:bCs/>
                <w:kern w:val="0"/>
                <w:szCs w:val="21"/>
              </w:rPr>
              <w:t>序号</w:t>
            </w:r>
          </w:p>
        </w:tc>
        <w:tc>
          <w:tcPr>
            <w:tcW w:w="3544" w:type="dxa"/>
            <w:noWrap/>
            <w:vAlign w:val="center"/>
          </w:tcPr>
          <w:p w:rsidR="00560F7F" w:rsidRDefault="00D4483B">
            <w:pPr>
              <w:widowControl/>
              <w:adjustRightInd w:val="0"/>
              <w:snapToGrid w:val="0"/>
              <w:spacing w:before="60" w:after="60"/>
              <w:jc w:val="center"/>
              <w:rPr>
                <w:rFonts w:ascii="宋体" w:eastAsia="宋体" w:hAnsi="宋体" w:cs="宋体"/>
                <w:bCs/>
                <w:kern w:val="0"/>
                <w:szCs w:val="21"/>
              </w:rPr>
            </w:pPr>
            <w:r>
              <w:rPr>
                <w:rFonts w:ascii="宋体" w:eastAsia="宋体" w:hAnsi="宋体" w:cs="宋体" w:hint="eastAsia"/>
                <w:bCs/>
                <w:kern w:val="0"/>
                <w:szCs w:val="21"/>
              </w:rPr>
              <w:t>培训主题</w:t>
            </w:r>
          </w:p>
        </w:tc>
        <w:tc>
          <w:tcPr>
            <w:tcW w:w="1134" w:type="dxa"/>
            <w:noWrap/>
            <w:vAlign w:val="center"/>
          </w:tcPr>
          <w:p w:rsidR="00560F7F" w:rsidRDefault="00D4483B">
            <w:pPr>
              <w:widowControl/>
              <w:adjustRightInd w:val="0"/>
              <w:snapToGrid w:val="0"/>
              <w:spacing w:before="60" w:after="60"/>
              <w:jc w:val="center"/>
              <w:rPr>
                <w:rFonts w:ascii="宋体" w:eastAsia="宋体" w:hAnsi="宋体" w:cs="宋体"/>
                <w:bCs/>
                <w:kern w:val="0"/>
                <w:szCs w:val="21"/>
              </w:rPr>
            </w:pPr>
            <w:r>
              <w:rPr>
                <w:rFonts w:ascii="宋体" w:eastAsia="宋体" w:hAnsi="宋体" w:cs="宋体" w:hint="eastAsia"/>
                <w:bCs/>
                <w:kern w:val="0"/>
                <w:szCs w:val="21"/>
              </w:rPr>
              <w:t>主讲人</w:t>
            </w:r>
          </w:p>
        </w:tc>
        <w:tc>
          <w:tcPr>
            <w:tcW w:w="1276" w:type="dxa"/>
            <w:noWrap/>
            <w:vAlign w:val="center"/>
          </w:tcPr>
          <w:p w:rsidR="00560F7F" w:rsidRDefault="00D4483B">
            <w:pPr>
              <w:widowControl/>
              <w:adjustRightInd w:val="0"/>
              <w:snapToGrid w:val="0"/>
              <w:spacing w:before="60" w:after="60"/>
              <w:jc w:val="center"/>
              <w:rPr>
                <w:rFonts w:ascii="宋体" w:eastAsia="宋体" w:hAnsi="宋体" w:cs="宋体"/>
                <w:bCs/>
                <w:kern w:val="0"/>
                <w:szCs w:val="21"/>
              </w:rPr>
            </w:pPr>
            <w:r>
              <w:rPr>
                <w:rFonts w:ascii="宋体" w:eastAsia="宋体" w:hAnsi="宋体" w:cs="宋体" w:hint="eastAsia"/>
                <w:bCs/>
                <w:kern w:val="0"/>
                <w:szCs w:val="21"/>
              </w:rPr>
              <w:t>主讲人单位</w:t>
            </w:r>
          </w:p>
        </w:tc>
        <w:tc>
          <w:tcPr>
            <w:tcW w:w="1893" w:type="dxa"/>
          </w:tcPr>
          <w:p w:rsidR="00560F7F" w:rsidRDefault="00D4483B">
            <w:pPr>
              <w:widowControl/>
              <w:adjustRightInd w:val="0"/>
              <w:snapToGrid w:val="0"/>
              <w:spacing w:before="60" w:after="60"/>
              <w:jc w:val="center"/>
              <w:rPr>
                <w:rFonts w:ascii="宋体" w:eastAsia="宋体" w:hAnsi="宋体" w:cs="宋体"/>
                <w:bCs/>
                <w:kern w:val="0"/>
                <w:szCs w:val="21"/>
              </w:rPr>
            </w:pPr>
            <w:r>
              <w:rPr>
                <w:rFonts w:ascii="宋体" w:eastAsia="宋体" w:hAnsi="宋体" w:cs="宋体" w:hint="eastAsia"/>
                <w:bCs/>
                <w:kern w:val="0"/>
                <w:szCs w:val="21"/>
              </w:rPr>
              <w:t>讲座时间</w:t>
            </w:r>
          </w:p>
        </w:tc>
      </w:tr>
      <w:tr w:rsidR="00560F7F">
        <w:trPr>
          <w:trHeight w:val="219"/>
          <w:jc w:val="center"/>
        </w:trPr>
        <w:tc>
          <w:tcPr>
            <w:tcW w:w="675" w:type="dxa"/>
            <w:noWrap/>
            <w:vAlign w:val="center"/>
          </w:tcPr>
          <w:p w:rsidR="00560F7F" w:rsidRDefault="00D4483B">
            <w:pPr>
              <w:adjustRightInd w:val="0"/>
              <w:snapToGrid w:val="0"/>
              <w:jc w:val="center"/>
              <w:rPr>
                <w:rFonts w:ascii="宋体" w:eastAsia="宋体" w:hAnsi="宋体" w:cs="仿宋_GB2312"/>
                <w:bCs/>
                <w:szCs w:val="21"/>
              </w:rPr>
            </w:pPr>
            <w:r>
              <w:rPr>
                <w:rFonts w:ascii="宋体" w:eastAsia="宋体" w:hAnsi="宋体" w:hint="eastAsia"/>
                <w:szCs w:val="21"/>
              </w:rPr>
              <w:t>1</w:t>
            </w:r>
          </w:p>
        </w:tc>
        <w:tc>
          <w:tcPr>
            <w:tcW w:w="3544" w:type="dxa"/>
            <w:noWrap/>
            <w:vAlign w:val="center"/>
          </w:tcPr>
          <w:p w:rsidR="00560F7F" w:rsidRDefault="00D4483B">
            <w:pPr>
              <w:pStyle w:val="TableParagraph"/>
              <w:adjustRightInd w:val="0"/>
              <w:snapToGrid w:val="0"/>
              <w:jc w:val="both"/>
              <w:rPr>
                <w:rFonts w:cs="仿宋_GB2312"/>
                <w:sz w:val="21"/>
                <w:szCs w:val="21"/>
              </w:rPr>
            </w:pPr>
            <w:r>
              <w:rPr>
                <w:sz w:val="21"/>
                <w:szCs w:val="21"/>
                <w:shd w:val="clear" w:color="auto" w:fill="FFFFFF"/>
              </w:rPr>
              <w:t>勤奋读研改变命运</w:t>
            </w:r>
          </w:p>
        </w:tc>
        <w:tc>
          <w:tcPr>
            <w:tcW w:w="1134" w:type="dxa"/>
            <w:noWrap/>
            <w:vAlign w:val="center"/>
          </w:tcPr>
          <w:p w:rsidR="00560F7F" w:rsidRDefault="00D4483B">
            <w:pPr>
              <w:pStyle w:val="TableParagraph"/>
              <w:adjustRightInd w:val="0"/>
              <w:snapToGrid w:val="0"/>
              <w:jc w:val="center"/>
              <w:rPr>
                <w:rFonts w:cs="仿宋_GB2312"/>
                <w:sz w:val="21"/>
                <w:szCs w:val="21"/>
              </w:rPr>
            </w:pPr>
            <w:r>
              <w:rPr>
                <w:sz w:val="21"/>
                <w:szCs w:val="21"/>
              </w:rPr>
              <w:t>熊媛媛</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嘉兴学院</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2022年4月9日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2</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关于读博及就业的一些思考和感悟</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宋海军</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嘉兴学院</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2022年4月9日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3</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一生的事业，从成为一名合格的研究生开始</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吴尧</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赛诺菲（中国）投资有限公司</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2022年4月16日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4</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“选择”的重要性</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明守利</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聊城大学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2022年4月26日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5</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改变人生：研究生成长案例分享</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徐景坤</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江西科技师范大学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2022年5月3日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6</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做正确的选择，并为之奋斗</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张莹莹</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南京大学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2022年5月24日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hint="eastAsia"/>
                <w:sz w:val="21"/>
                <w:szCs w:val="21"/>
              </w:rPr>
              <w:t>7</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rPr>
              <w:t>相信相信的力量-越努力越幸运</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张辉</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南京大学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hint="eastAsia"/>
                <w:szCs w:val="21"/>
              </w:rPr>
              <w:t>2022年5月24日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8</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cs="宋体" w:hint="eastAsia"/>
                <w:szCs w:val="21"/>
              </w:rPr>
              <w:t>《研究生撰写与发表职教研究论文要多思考些什么》</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宋体" w:hint="eastAsia"/>
                <w:szCs w:val="21"/>
              </w:rPr>
              <w:t>张祺午</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hint="eastAsia"/>
                <w:szCs w:val="21"/>
              </w:rPr>
              <w:t>吉林大学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hint="eastAsia"/>
                <w:szCs w:val="21"/>
              </w:rPr>
              <w:t>2022年10月13日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9</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cs="Times New Roman"/>
                <w:szCs w:val="21"/>
              </w:rPr>
              <w:t>“双减”政策下准教师专业发展的路向与路径</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虞秀云</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江西师范大学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szCs w:val="21"/>
              </w:rPr>
              <w:t>2022年10月17日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10</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hint="eastAsia"/>
                <w:szCs w:val="21"/>
                <w:shd w:val="clear" w:color="auto" w:fill="FFFFFF"/>
              </w:rPr>
              <w:t>如何管理自己</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hint="eastAsia"/>
                <w:szCs w:val="21"/>
              </w:rPr>
              <w:t>赵曙明</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hint="eastAsia"/>
                <w:szCs w:val="21"/>
              </w:rPr>
              <w:t>南京大学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szCs w:val="21"/>
              </w:rPr>
              <w:t>2022年10月</w:t>
            </w:r>
            <w:r>
              <w:rPr>
                <w:rFonts w:ascii="宋体" w:eastAsia="宋体" w:hAnsi="宋体" w:cs="Times New Roman" w:hint="eastAsia"/>
                <w:szCs w:val="21"/>
              </w:rPr>
              <w:t>22</w:t>
            </w:r>
            <w:r>
              <w:rPr>
                <w:rFonts w:ascii="宋体" w:eastAsia="宋体" w:hAnsi="宋体" w:cs="Times New Roman"/>
                <w:szCs w:val="21"/>
              </w:rPr>
              <w:t>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11</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cs="Times New Roman"/>
                <w:szCs w:val="21"/>
              </w:rPr>
              <w:t>《变分方法的过去、现在和将来》</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邹文明</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清华大学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szCs w:val="21"/>
              </w:rPr>
              <w:t>2022年11月16日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12</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cs="Times New Roman"/>
                <w:szCs w:val="21"/>
              </w:rPr>
              <w:t>《工业互联网技术、中国实践与未来人才定义》</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吴云峰</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上海智元信息技术有限公司</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szCs w:val="21"/>
              </w:rPr>
              <w:t>2022年11月18日</w:t>
            </w:r>
          </w:p>
        </w:tc>
      </w:tr>
      <w:tr w:rsidR="00560F7F">
        <w:trPr>
          <w:trHeight w:val="151"/>
          <w:jc w:val="center"/>
        </w:trPr>
        <w:tc>
          <w:tcPr>
            <w:tcW w:w="675" w:type="dxa"/>
            <w:noWrap/>
            <w:vAlign w:val="center"/>
          </w:tcPr>
          <w:p w:rsidR="00560F7F" w:rsidRDefault="00D4483B">
            <w:pPr>
              <w:pStyle w:val="TableParagraph"/>
              <w:adjustRightInd w:val="0"/>
              <w:snapToGrid w:val="0"/>
              <w:jc w:val="center"/>
              <w:rPr>
                <w:rFonts w:cs="仿宋_GB2312"/>
                <w:bCs/>
                <w:sz w:val="21"/>
                <w:szCs w:val="21"/>
              </w:rPr>
            </w:pPr>
            <w:r>
              <w:rPr>
                <w:rFonts w:cs="Times New Roman" w:hint="eastAsia"/>
                <w:sz w:val="21"/>
                <w:szCs w:val="21"/>
              </w:rPr>
              <w:t>13</w:t>
            </w:r>
          </w:p>
        </w:tc>
        <w:tc>
          <w:tcPr>
            <w:tcW w:w="3544" w:type="dxa"/>
            <w:noWrap/>
            <w:vAlign w:val="center"/>
          </w:tcPr>
          <w:p w:rsidR="00560F7F" w:rsidRDefault="00D4483B">
            <w:pPr>
              <w:adjustRightInd w:val="0"/>
              <w:snapToGrid w:val="0"/>
              <w:rPr>
                <w:rFonts w:ascii="宋体" w:eastAsia="宋体" w:hAnsi="宋体" w:cs="仿宋_GB2312"/>
                <w:szCs w:val="21"/>
              </w:rPr>
            </w:pPr>
            <w:r>
              <w:rPr>
                <w:rFonts w:ascii="宋体" w:eastAsia="宋体" w:hAnsi="宋体" w:cs="Times New Roman"/>
                <w:szCs w:val="21"/>
              </w:rPr>
              <w:t>《数学教育硕士研究生培养的一些体会》</w:t>
            </w:r>
          </w:p>
        </w:tc>
        <w:tc>
          <w:tcPr>
            <w:tcW w:w="1134"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胡典顺</w:t>
            </w:r>
          </w:p>
        </w:tc>
        <w:tc>
          <w:tcPr>
            <w:tcW w:w="1276" w:type="dxa"/>
            <w:noWrap/>
            <w:vAlign w:val="center"/>
          </w:tcPr>
          <w:p w:rsidR="00560F7F" w:rsidRDefault="00D4483B">
            <w:pPr>
              <w:adjustRightInd w:val="0"/>
              <w:snapToGrid w:val="0"/>
              <w:jc w:val="center"/>
              <w:rPr>
                <w:rFonts w:ascii="宋体" w:eastAsia="宋体" w:hAnsi="宋体" w:cs="仿宋_GB2312"/>
                <w:szCs w:val="21"/>
              </w:rPr>
            </w:pPr>
            <w:r>
              <w:rPr>
                <w:rFonts w:ascii="宋体" w:eastAsia="宋体" w:hAnsi="宋体" w:cs="Times New Roman"/>
                <w:szCs w:val="21"/>
              </w:rPr>
              <w:t>华中师范大学</w:t>
            </w:r>
          </w:p>
        </w:tc>
        <w:tc>
          <w:tcPr>
            <w:tcW w:w="1893" w:type="dxa"/>
            <w:vAlign w:val="center"/>
          </w:tcPr>
          <w:p w:rsidR="00560F7F" w:rsidRDefault="00D4483B">
            <w:pPr>
              <w:adjustRightInd w:val="0"/>
              <w:snapToGrid w:val="0"/>
              <w:jc w:val="center"/>
              <w:rPr>
                <w:rFonts w:ascii="宋体" w:eastAsia="宋体" w:hAnsi="宋体" w:cs="Times New Roman"/>
                <w:szCs w:val="21"/>
              </w:rPr>
            </w:pPr>
            <w:r>
              <w:rPr>
                <w:rFonts w:ascii="宋体" w:eastAsia="宋体" w:hAnsi="宋体" w:cs="Times New Roman"/>
                <w:szCs w:val="21"/>
              </w:rPr>
              <w:t>2022年11月21日</w:t>
            </w:r>
          </w:p>
        </w:tc>
      </w:tr>
    </w:tbl>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3.6 研究生奖助情况</w:t>
      </w:r>
    </w:p>
    <w:p w:rsidR="00560F7F" w:rsidRDefault="00D4483B">
      <w:pPr>
        <w:pStyle w:val="20"/>
        <w:snapToGrid w:val="0"/>
        <w:spacing w:line="400" w:lineRule="exact"/>
        <w:ind w:firstLine="480"/>
        <w:rPr>
          <w:rStyle w:val="NormalCharacter"/>
          <w:rFonts w:ascii="宋体" w:eastAsia="宋体" w:hAnsi="宋体" w:cs="方正仿宋简体"/>
        </w:rPr>
      </w:pPr>
      <w:r>
        <w:rPr>
          <w:rStyle w:val="NormalCharacter"/>
          <w:rFonts w:ascii="宋体" w:eastAsia="宋体" w:hAnsi="宋体" w:cs="方正仿宋简体" w:hint="eastAsia"/>
        </w:rPr>
        <w:lastRenderedPageBreak/>
        <w:t>本学位点研究生奖助体系由国家助学金、国家奖学金、江西省政府奖学金等组成（见表4）。</w:t>
      </w:r>
    </w:p>
    <w:p w:rsidR="00560F7F" w:rsidRDefault="00D4483B" w:rsidP="004E4521">
      <w:pPr>
        <w:pStyle w:val="20"/>
        <w:snapToGrid w:val="0"/>
        <w:spacing w:beforeLines="50"/>
        <w:ind w:firstLineChars="0" w:firstLine="0"/>
        <w:jc w:val="center"/>
        <w:rPr>
          <w:rFonts w:ascii="宋体" w:eastAsia="宋体" w:hAnsi="宋体" w:cs="方正仿宋简体"/>
          <w:sz w:val="21"/>
          <w:szCs w:val="21"/>
        </w:rPr>
      </w:pPr>
      <w:r>
        <w:rPr>
          <w:rStyle w:val="NormalCharacter"/>
          <w:rFonts w:ascii="宋体" w:eastAsia="宋体" w:hAnsi="宋体" w:cs="方正仿宋简体" w:hint="eastAsia"/>
          <w:bCs/>
          <w:sz w:val="21"/>
          <w:szCs w:val="21"/>
        </w:rPr>
        <w:t>表4 奖助体系</w:t>
      </w:r>
    </w:p>
    <w:tbl>
      <w:tblPr>
        <w:tblStyle w:val="a8"/>
        <w:tblW w:w="5000" w:type="pct"/>
        <w:jc w:val="center"/>
        <w:tblLook w:val="04A0"/>
      </w:tblPr>
      <w:tblGrid>
        <w:gridCol w:w="2318"/>
        <w:gridCol w:w="2681"/>
        <w:gridCol w:w="3523"/>
      </w:tblGrid>
      <w:tr w:rsidR="00560F7F">
        <w:trPr>
          <w:trHeight w:val="578"/>
          <w:jc w:val="center"/>
        </w:trPr>
        <w:tc>
          <w:tcPr>
            <w:tcW w:w="1360" w:type="pct"/>
            <w:vAlign w:val="center"/>
          </w:tcPr>
          <w:p w:rsidR="00560F7F" w:rsidRDefault="00D4483B">
            <w:pPr>
              <w:pStyle w:val="20"/>
              <w:snapToGrid w:val="0"/>
              <w:spacing w:line="360" w:lineRule="auto"/>
              <w:ind w:firstLineChars="0" w:firstLine="0"/>
              <w:jc w:val="center"/>
              <w:rPr>
                <w:rFonts w:ascii="宋体" w:eastAsia="宋体" w:hAnsi="宋体"/>
                <w:kern w:val="0"/>
                <w:sz w:val="21"/>
                <w:szCs w:val="21"/>
              </w:rPr>
            </w:pPr>
            <w:r>
              <w:rPr>
                <w:rFonts w:ascii="宋体" w:eastAsia="宋体" w:hAnsi="宋体" w:hint="eastAsia"/>
                <w:kern w:val="0"/>
                <w:sz w:val="21"/>
                <w:szCs w:val="21"/>
              </w:rPr>
              <w:t>奖助类别名称</w:t>
            </w:r>
          </w:p>
        </w:tc>
        <w:tc>
          <w:tcPr>
            <w:tcW w:w="1573" w:type="pct"/>
            <w:vAlign w:val="center"/>
          </w:tcPr>
          <w:p w:rsidR="00560F7F" w:rsidRDefault="00D4483B">
            <w:pPr>
              <w:pStyle w:val="20"/>
              <w:snapToGrid w:val="0"/>
              <w:spacing w:line="360" w:lineRule="auto"/>
              <w:ind w:firstLineChars="0" w:firstLine="0"/>
              <w:jc w:val="center"/>
              <w:rPr>
                <w:rFonts w:ascii="宋体" w:eastAsia="宋体" w:hAnsi="宋体"/>
                <w:kern w:val="0"/>
                <w:sz w:val="21"/>
                <w:szCs w:val="21"/>
              </w:rPr>
            </w:pPr>
            <w:r>
              <w:rPr>
                <w:rFonts w:ascii="宋体" w:eastAsia="宋体" w:hAnsi="宋体" w:hint="eastAsia"/>
                <w:kern w:val="0"/>
                <w:sz w:val="21"/>
                <w:szCs w:val="21"/>
              </w:rPr>
              <w:t>奖助标准</w:t>
            </w:r>
          </w:p>
        </w:tc>
        <w:tc>
          <w:tcPr>
            <w:tcW w:w="2067" w:type="pct"/>
            <w:vAlign w:val="center"/>
          </w:tcPr>
          <w:p w:rsidR="00560F7F" w:rsidRDefault="00D4483B">
            <w:pPr>
              <w:pStyle w:val="20"/>
              <w:snapToGrid w:val="0"/>
              <w:spacing w:line="360" w:lineRule="auto"/>
              <w:ind w:firstLineChars="0" w:firstLine="0"/>
              <w:jc w:val="center"/>
              <w:rPr>
                <w:rFonts w:ascii="宋体" w:eastAsia="宋体" w:hAnsi="宋体"/>
                <w:kern w:val="0"/>
                <w:sz w:val="21"/>
                <w:szCs w:val="21"/>
              </w:rPr>
            </w:pPr>
            <w:r>
              <w:rPr>
                <w:rFonts w:ascii="宋体" w:eastAsia="宋体" w:hAnsi="宋体" w:hint="eastAsia"/>
                <w:kern w:val="0"/>
                <w:sz w:val="21"/>
                <w:szCs w:val="21"/>
              </w:rPr>
              <w:t>发放对象</w:t>
            </w:r>
          </w:p>
        </w:tc>
      </w:tr>
      <w:tr w:rsidR="00560F7F">
        <w:trPr>
          <w:trHeight w:val="450"/>
          <w:jc w:val="center"/>
        </w:trPr>
        <w:tc>
          <w:tcPr>
            <w:tcW w:w="1360" w:type="pct"/>
            <w:vAlign w:val="center"/>
          </w:tcPr>
          <w:p w:rsidR="00560F7F" w:rsidRDefault="00D4483B">
            <w:pPr>
              <w:pStyle w:val="20"/>
              <w:snapToGrid w:val="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国家助学金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每生每月600元，每年按10个月发放</w:t>
            </w:r>
          </w:p>
        </w:tc>
        <w:tc>
          <w:tcPr>
            <w:tcW w:w="2067" w:type="pct"/>
            <w:vAlign w:val="center"/>
          </w:tcPr>
          <w:p w:rsidR="00560F7F" w:rsidRDefault="00D4483B">
            <w:pPr>
              <w:pStyle w:val="20"/>
              <w:snapToGrid w:val="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招生计划内所有全日制研究生</w:t>
            </w:r>
          </w:p>
        </w:tc>
      </w:tr>
      <w:tr w:rsidR="00560F7F">
        <w:trPr>
          <w:jc w:val="center"/>
        </w:trPr>
        <w:tc>
          <w:tcPr>
            <w:tcW w:w="1360" w:type="pct"/>
            <w:vAlign w:val="center"/>
          </w:tcPr>
          <w:p w:rsidR="00560F7F" w:rsidRDefault="00D4483B">
            <w:pPr>
              <w:pStyle w:val="20"/>
              <w:snapToGrid w:val="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国家奖学金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每生每年2万元</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奖励学业成绩优秀、科研成果突出、社会公益活动表现突出研究生</w:t>
            </w:r>
          </w:p>
        </w:tc>
      </w:tr>
      <w:tr w:rsidR="00560F7F">
        <w:trPr>
          <w:jc w:val="center"/>
        </w:trPr>
        <w:tc>
          <w:tcPr>
            <w:tcW w:w="1360"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江西省政府奖学金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每生每年1万元</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奖励全日制二年级以上(含二年级）在读研究生</w:t>
            </w:r>
          </w:p>
        </w:tc>
      </w:tr>
      <w:tr w:rsidR="00560F7F">
        <w:trPr>
          <w:jc w:val="center"/>
        </w:trPr>
        <w:tc>
          <w:tcPr>
            <w:tcW w:w="1360"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江西省学业奖学金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每生每年8000元</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奖励比例为全日制在校研究生总数的40%</w:t>
            </w:r>
          </w:p>
        </w:tc>
      </w:tr>
      <w:tr w:rsidR="00560F7F">
        <w:trPr>
          <w:jc w:val="center"/>
        </w:trPr>
        <w:tc>
          <w:tcPr>
            <w:tcW w:w="1360"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校研究生创新专项资金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2000元</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资助研究生自主提出具有创新思想的研究课题</w:t>
            </w:r>
          </w:p>
        </w:tc>
      </w:tr>
      <w:tr w:rsidR="00560F7F">
        <w:trPr>
          <w:trHeight w:val="456"/>
          <w:jc w:val="center"/>
        </w:trPr>
        <w:tc>
          <w:tcPr>
            <w:tcW w:w="1360"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校研究生学业奖学金</w:t>
            </w:r>
          </w:p>
        </w:tc>
        <w:tc>
          <w:tcPr>
            <w:tcW w:w="1573"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4000元-10000元之间</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奖励对象为全日制在校研究生</w:t>
            </w:r>
          </w:p>
        </w:tc>
      </w:tr>
      <w:tr w:rsidR="00560F7F">
        <w:trPr>
          <w:jc w:val="center"/>
        </w:trPr>
        <w:tc>
          <w:tcPr>
            <w:tcW w:w="1360" w:type="pct"/>
            <w:vAlign w:val="center"/>
          </w:tcPr>
          <w:p w:rsidR="00560F7F" w:rsidRDefault="00D4483B">
            <w:pPr>
              <w:pStyle w:val="20"/>
              <w:snapToGrid w:val="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新生奖学金</w:t>
            </w:r>
          </w:p>
        </w:tc>
        <w:tc>
          <w:tcPr>
            <w:tcW w:w="1573"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每生给一次性的奖励金额在8000-12000元之间</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一志愿报考我校被录取或调剂被录取的新生(不含破格录取的)</w:t>
            </w:r>
          </w:p>
        </w:tc>
      </w:tr>
      <w:tr w:rsidR="00560F7F">
        <w:trPr>
          <w:trHeight w:val="464"/>
          <w:jc w:val="center"/>
        </w:trPr>
        <w:tc>
          <w:tcPr>
            <w:tcW w:w="1360"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“三助”岗位</w:t>
            </w:r>
          </w:p>
        </w:tc>
        <w:tc>
          <w:tcPr>
            <w:tcW w:w="1573"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基本岗位津贴300元/月，学院在此基础上给予1:1的比例经费</w:t>
            </w:r>
          </w:p>
        </w:tc>
        <w:tc>
          <w:tcPr>
            <w:tcW w:w="2067" w:type="pct"/>
            <w:vAlign w:val="center"/>
          </w:tcPr>
          <w:p w:rsidR="00560F7F" w:rsidRDefault="00D4483B">
            <w:pPr>
              <w:pStyle w:val="20"/>
              <w:snapToGrid w:val="0"/>
              <w:ind w:firstLineChars="0" w:firstLine="0"/>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学校每年设置一定数量的研究生助教、助研和助管</w:t>
            </w:r>
          </w:p>
        </w:tc>
      </w:tr>
    </w:tbl>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t>4 研究生教育改革情况</w:t>
      </w:r>
      <w:bookmarkStart w:id="3" w:name="_Toc527800268"/>
      <w:bookmarkStart w:id="4" w:name="_Toc527799240"/>
    </w:p>
    <w:bookmarkEnd w:id="3"/>
    <w:bookmarkEnd w:id="4"/>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4.1 人才培养</w:t>
      </w:r>
    </w:p>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t>4.1.1录取基本数据</w:t>
      </w:r>
    </w:p>
    <w:p w:rsidR="00560F7F" w:rsidRDefault="00D4483B">
      <w:pPr>
        <w:pStyle w:val="a3"/>
        <w:spacing w:before="0" w:line="400" w:lineRule="exact"/>
        <w:ind w:left="0" w:firstLineChars="200"/>
        <w:rPr>
          <w:rStyle w:val="NormalCharacter"/>
          <w:rFonts w:ascii="宋体" w:eastAsia="宋体" w:hAnsi="宋体" w:cs="方正仿宋简体"/>
          <w:lang w:bidi="ar-SA"/>
        </w:rPr>
      </w:pPr>
      <w:r>
        <w:rPr>
          <w:rStyle w:val="NormalCharacter"/>
          <w:rFonts w:ascii="宋体" w:eastAsia="宋体" w:hAnsi="宋体" w:cs="方正仿宋简体" w:hint="eastAsia"/>
          <w:lang w:bidi="ar-SA"/>
        </w:rPr>
        <w:t>2022年本学位研究生招生15人，在读34人，应毕业17人，实际毕业17人，学位授予17人。</w:t>
      </w:r>
    </w:p>
    <w:p w:rsidR="00560F7F" w:rsidRDefault="00D4483B" w:rsidP="004E4521">
      <w:pPr>
        <w:pStyle w:val="20"/>
        <w:snapToGrid w:val="0"/>
        <w:spacing w:beforeLines="50"/>
        <w:ind w:firstLineChars="0" w:firstLine="0"/>
        <w:jc w:val="center"/>
        <w:rPr>
          <w:rStyle w:val="NormalCharacter"/>
          <w:rFonts w:ascii="宋体" w:eastAsia="宋体" w:hAnsi="宋体" w:cs="方正仿宋简体"/>
          <w:bCs/>
          <w:sz w:val="21"/>
          <w:szCs w:val="21"/>
        </w:rPr>
      </w:pPr>
      <w:r>
        <w:rPr>
          <w:rStyle w:val="NormalCharacter"/>
          <w:rFonts w:ascii="宋体" w:eastAsia="宋体" w:hAnsi="宋体" w:cs="方正仿宋简体" w:hint="eastAsia"/>
          <w:bCs/>
          <w:sz w:val="21"/>
          <w:szCs w:val="21"/>
        </w:rPr>
        <w:t>表5  国际商务硕士研究生招生与学位授予情况</w:t>
      </w:r>
    </w:p>
    <w:tbl>
      <w:tblPr>
        <w:tblStyle w:val="a8"/>
        <w:tblW w:w="5000" w:type="pct"/>
        <w:tblLook w:val="04A0"/>
      </w:tblPr>
      <w:tblGrid>
        <w:gridCol w:w="2301"/>
        <w:gridCol w:w="2666"/>
        <w:gridCol w:w="3555"/>
      </w:tblGrid>
      <w:tr w:rsidR="00560F7F">
        <w:trPr>
          <w:trHeight w:val="581"/>
        </w:trPr>
        <w:tc>
          <w:tcPr>
            <w:tcW w:w="1350" w:type="pct"/>
            <w:vAlign w:val="center"/>
          </w:tcPr>
          <w:p w:rsidR="00560F7F" w:rsidRDefault="00560F7F">
            <w:pPr>
              <w:pStyle w:val="20"/>
              <w:snapToGrid w:val="0"/>
              <w:ind w:firstLineChars="0" w:firstLine="0"/>
              <w:jc w:val="center"/>
              <w:rPr>
                <w:rStyle w:val="NormalCharacter"/>
                <w:rFonts w:ascii="宋体" w:eastAsia="宋体" w:hAnsi="宋体" w:cs="方正仿宋简体"/>
                <w:sz w:val="21"/>
                <w:szCs w:val="21"/>
              </w:rPr>
            </w:pPr>
          </w:p>
        </w:tc>
        <w:tc>
          <w:tcPr>
            <w:tcW w:w="1564"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全日制招生人数</w:t>
            </w:r>
          </w:p>
        </w:tc>
        <w:tc>
          <w:tcPr>
            <w:tcW w:w="2086" w:type="pct"/>
            <w:vAlign w:val="center"/>
          </w:tcPr>
          <w:p w:rsidR="00560F7F" w:rsidRDefault="00D4483B">
            <w:pPr>
              <w:pStyle w:val="20"/>
              <w:snapToGrid w:val="0"/>
              <w:ind w:firstLineChars="0" w:firstLine="0"/>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全日制授予学位人数</w:t>
            </w:r>
          </w:p>
        </w:tc>
      </w:tr>
      <w:tr w:rsidR="00560F7F">
        <w:trPr>
          <w:trHeight w:val="262"/>
        </w:trPr>
        <w:tc>
          <w:tcPr>
            <w:tcW w:w="1350" w:type="pct"/>
            <w:vAlign w:val="center"/>
          </w:tcPr>
          <w:p w:rsidR="00560F7F" w:rsidRDefault="00D4483B">
            <w:pPr>
              <w:snapToGrid w:val="0"/>
              <w:spacing w:line="360" w:lineRule="auto"/>
              <w:jc w:val="center"/>
              <w:rPr>
                <w:rFonts w:ascii="宋体" w:hAnsi="宋体"/>
                <w:bCs/>
                <w:color w:val="000000"/>
                <w:kern w:val="0"/>
                <w:szCs w:val="21"/>
              </w:rPr>
            </w:pPr>
            <w:r>
              <w:rPr>
                <w:rStyle w:val="NormalCharacter"/>
                <w:rFonts w:ascii="宋体" w:eastAsia="宋体" w:hAnsi="宋体" w:cs="方正仿宋简体"/>
                <w:sz w:val="21"/>
                <w:szCs w:val="21"/>
              </w:rPr>
              <w:t>2022</w:t>
            </w:r>
            <w:r>
              <w:rPr>
                <w:rStyle w:val="NormalCharacter"/>
                <w:rFonts w:ascii="宋体" w:eastAsia="宋体" w:hAnsi="宋体" w:cs="方正仿宋简体" w:hint="eastAsia"/>
                <w:sz w:val="21"/>
                <w:szCs w:val="21"/>
              </w:rPr>
              <w:t>年</w:t>
            </w:r>
          </w:p>
        </w:tc>
        <w:tc>
          <w:tcPr>
            <w:tcW w:w="1564" w:type="pct"/>
            <w:vAlign w:val="center"/>
          </w:tcPr>
          <w:p w:rsidR="00560F7F" w:rsidRDefault="00D4483B">
            <w:pPr>
              <w:snapToGrid w:val="0"/>
              <w:spacing w:line="360" w:lineRule="auto"/>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15</w:t>
            </w:r>
          </w:p>
        </w:tc>
        <w:tc>
          <w:tcPr>
            <w:tcW w:w="2086" w:type="pct"/>
            <w:vAlign w:val="center"/>
          </w:tcPr>
          <w:p w:rsidR="00560F7F" w:rsidRDefault="00D4483B">
            <w:pPr>
              <w:snapToGrid w:val="0"/>
              <w:spacing w:line="360" w:lineRule="auto"/>
              <w:jc w:val="center"/>
              <w:rPr>
                <w:rStyle w:val="NormalCharacter"/>
                <w:rFonts w:ascii="宋体" w:eastAsia="宋体" w:hAnsi="宋体" w:cs="方正仿宋简体"/>
                <w:sz w:val="21"/>
                <w:szCs w:val="21"/>
              </w:rPr>
            </w:pPr>
            <w:r>
              <w:rPr>
                <w:rStyle w:val="NormalCharacter"/>
                <w:rFonts w:ascii="宋体" w:eastAsia="宋体" w:hAnsi="宋体" w:cs="方正仿宋简体" w:hint="eastAsia"/>
                <w:sz w:val="21"/>
                <w:szCs w:val="21"/>
              </w:rPr>
              <w:t>17</w:t>
            </w:r>
          </w:p>
        </w:tc>
      </w:tr>
    </w:tbl>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t>4.1.2生源结构情况分析</w:t>
      </w:r>
    </w:p>
    <w:p w:rsidR="00560F7F" w:rsidRDefault="00D4483B">
      <w:pPr>
        <w:spacing w:line="360" w:lineRule="auto"/>
        <w:ind w:firstLineChars="200" w:firstLine="482"/>
        <w:rPr>
          <w:rFonts w:ascii="宋体" w:eastAsia="宋体" w:hAnsi="宋体"/>
          <w:bCs/>
          <w:kern w:val="0"/>
          <w:sz w:val="24"/>
          <w:szCs w:val="24"/>
        </w:rPr>
      </w:pPr>
      <w:r>
        <w:rPr>
          <w:rFonts w:ascii="宋体" w:eastAsia="宋体" w:hAnsi="宋体"/>
          <w:b/>
          <w:kern w:val="0"/>
          <w:sz w:val="24"/>
          <w:szCs w:val="24"/>
        </w:rPr>
        <w:t>生源范围</w:t>
      </w:r>
      <w:r>
        <w:rPr>
          <w:rStyle w:val="NormalCharacter"/>
          <w:rFonts w:ascii="宋体" w:eastAsia="宋体" w:hAnsi="宋体" w:cs="黑体" w:hint="eastAsia"/>
          <w:bCs/>
          <w:szCs w:val="24"/>
        </w:rPr>
        <w:t>：2022级录取的国际商务专业学生，以202</w:t>
      </w:r>
      <w:r>
        <w:rPr>
          <w:rStyle w:val="NormalCharacter"/>
          <w:rFonts w:ascii="宋体" w:eastAsia="宋体" w:hAnsi="宋体" w:cs="黑体"/>
          <w:bCs/>
          <w:szCs w:val="24"/>
        </w:rPr>
        <w:t>2</w:t>
      </w:r>
      <w:r>
        <w:rPr>
          <w:rStyle w:val="NormalCharacter"/>
          <w:rFonts w:ascii="宋体" w:eastAsia="宋体" w:hAnsi="宋体" w:cs="黑体" w:hint="eastAsia"/>
          <w:bCs/>
          <w:szCs w:val="24"/>
        </w:rPr>
        <w:t>届本科应届毕业生为主，在录取的15人中，多数本科就读院校较好，比上一年生源质量有所改善。</w:t>
      </w:r>
    </w:p>
    <w:p w:rsidR="00560F7F" w:rsidRDefault="00D4483B">
      <w:pPr>
        <w:spacing w:line="360" w:lineRule="auto"/>
        <w:ind w:firstLineChars="200" w:firstLine="482"/>
        <w:rPr>
          <w:rFonts w:ascii="宋体" w:eastAsia="宋体" w:hAnsi="宋体"/>
          <w:bCs/>
          <w:kern w:val="0"/>
          <w:sz w:val="24"/>
          <w:szCs w:val="24"/>
        </w:rPr>
      </w:pPr>
      <w:r>
        <w:rPr>
          <w:rFonts w:ascii="宋体" w:eastAsia="宋体" w:hAnsi="宋体"/>
          <w:b/>
          <w:kern w:val="0"/>
          <w:sz w:val="24"/>
          <w:szCs w:val="24"/>
        </w:rPr>
        <w:t>学历情况</w:t>
      </w:r>
      <w:r>
        <w:rPr>
          <w:rFonts w:ascii="宋体" w:eastAsia="宋体" w:hAnsi="宋体"/>
          <w:bCs/>
          <w:kern w:val="0"/>
          <w:sz w:val="24"/>
          <w:szCs w:val="24"/>
        </w:rPr>
        <w:t>：</w:t>
      </w:r>
      <w:r>
        <w:rPr>
          <w:rStyle w:val="NormalCharacter"/>
          <w:rFonts w:ascii="宋体" w:eastAsia="宋体" w:hAnsi="宋体" w:cs="黑体" w:hint="eastAsia"/>
          <w:bCs/>
          <w:szCs w:val="24"/>
        </w:rPr>
        <w:t>报考学位点的研究生都具有大学本科学历。</w:t>
      </w:r>
    </w:p>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t>4.1.3保证生源质量措施</w:t>
      </w:r>
    </w:p>
    <w:p w:rsidR="00560F7F" w:rsidRDefault="00D4483B">
      <w:pPr>
        <w:ind w:firstLineChars="200" w:firstLine="480"/>
        <w:rPr>
          <w:rStyle w:val="NormalCharacter"/>
          <w:rFonts w:ascii="宋体" w:eastAsia="宋体" w:hAnsi="宋体" w:cs="黑体"/>
          <w:bCs/>
          <w:szCs w:val="24"/>
        </w:rPr>
      </w:pPr>
      <w:r>
        <w:rPr>
          <w:rStyle w:val="NormalCharacter"/>
          <w:rFonts w:ascii="宋体" w:eastAsia="宋体" w:hAnsi="宋体" w:cs="黑体" w:hint="eastAsia"/>
          <w:bCs/>
          <w:szCs w:val="24"/>
        </w:rPr>
        <w:t xml:space="preserve">本学位点严格执行教育部颁布的《全国硕士研究生招生工作管理规定》，注重考核考生的专业素质、综合素质；分资格审查、笔试、面试等环节。 </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lastRenderedPageBreak/>
        <w:t>4.2 教师队伍建设</w:t>
      </w:r>
    </w:p>
    <w:p w:rsidR="00560F7F" w:rsidRDefault="00D4483B">
      <w:pPr>
        <w:pStyle w:val="1"/>
        <w:snapToGrid w:val="0"/>
        <w:spacing w:line="400" w:lineRule="exact"/>
        <w:ind w:firstLine="480"/>
        <w:rPr>
          <w:rStyle w:val="NormalCharacter"/>
          <w:rFonts w:ascii="宋体" w:eastAsia="宋体" w:hAnsi="宋体" w:cs="黑体"/>
          <w:bCs/>
        </w:rPr>
      </w:pPr>
      <w:r>
        <w:rPr>
          <w:rStyle w:val="NormalCharacter"/>
          <w:rFonts w:ascii="宋体" w:eastAsia="宋体" w:hAnsi="宋体" w:cs="黑体" w:hint="eastAsia"/>
          <w:bCs/>
        </w:rPr>
        <w:t>本学位点共有专任教师20名，职称结构、学历结构、年龄结构和学缘结构合理，学术梯队具有可持续发展能力。统计时间内教师队伍承担了各类纵、横向科研项目，纵向科研经费累计达107.45万元，横向课题111.17万元。</w:t>
      </w:r>
    </w:p>
    <w:p w:rsidR="00560F7F" w:rsidRDefault="00D4483B" w:rsidP="004E4521">
      <w:pPr>
        <w:pStyle w:val="1"/>
        <w:snapToGrid w:val="0"/>
        <w:spacing w:beforeLines="50"/>
        <w:jc w:val="center"/>
        <w:rPr>
          <w:rStyle w:val="NormalCharacter"/>
          <w:rFonts w:ascii="宋体" w:eastAsia="宋体" w:hAnsi="宋体" w:cs="黑体"/>
          <w:bCs/>
          <w:sz w:val="21"/>
          <w:szCs w:val="21"/>
        </w:rPr>
      </w:pPr>
      <w:r>
        <w:rPr>
          <w:rStyle w:val="NormalCharacter"/>
          <w:rFonts w:ascii="宋体" w:eastAsia="宋体" w:hAnsi="宋体" w:cs="方正仿宋简体" w:hint="eastAsia"/>
          <w:bCs/>
          <w:sz w:val="21"/>
          <w:szCs w:val="21"/>
        </w:rPr>
        <w:t xml:space="preserve">表6 </w:t>
      </w:r>
      <w:r>
        <w:rPr>
          <w:rFonts w:ascii="宋体" w:eastAsia="宋体" w:hAnsi="宋体" w:cs="仿宋_GB2312" w:hint="eastAsia"/>
          <w:sz w:val="21"/>
          <w:szCs w:val="21"/>
        </w:rPr>
        <w:t>骨干教师情况一览表</w:t>
      </w:r>
    </w:p>
    <w:tbl>
      <w:tblPr>
        <w:tblW w:w="4930" w:type="pct"/>
        <w:tblLayout w:type="fixed"/>
        <w:tblCellMar>
          <w:top w:w="15" w:type="dxa"/>
          <w:left w:w="15" w:type="dxa"/>
          <w:bottom w:w="15" w:type="dxa"/>
          <w:right w:w="15" w:type="dxa"/>
        </w:tblCellMar>
        <w:tblLook w:val="04A0"/>
      </w:tblPr>
      <w:tblGrid>
        <w:gridCol w:w="507"/>
        <w:gridCol w:w="663"/>
        <w:gridCol w:w="450"/>
        <w:gridCol w:w="526"/>
        <w:gridCol w:w="708"/>
        <w:gridCol w:w="707"/>
        <w:gridCol w:w="712"/>
        <w:gridCol w:w="858"/>
        <w:gridCol w:w="710"/>
        <w:gridCol w:w="851"/>
        <w:gridCol w:w="1527"/>
      </w:tblGrid>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学位方向</w:t>
            </w:r>
          </w:p>
        </w:tc>
        <w:tc>
          <w:tcPr>
            <w:tcW w:w="2291" w:type="pct"/>
            <w:gridSpan w:val="6"/>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国际贸易</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jc w:val="center"/>
              <w:rPr>
                <w:rFonts w:ascii="宋体" w:eastAsia="宋体" w:hAnsi="宋体"/>
                <w:szCs w:val="21"/>
              </w:rPr>
            </w:pPr>
            <w:r>
              <w:rPr>
                <w:rFonts w:ascii="宋体" w:eastAsia="宋体" w:hAnsi="宋体"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jc w:val="center"/>
              <w:rPr>
                <w:rFonts w:ascii="宋体" w:eastAsia="宋体" w:hAnsi="宋体"/>
                <w:szCs w:val="21"/>
              </w:rPr>
            </w:pPr>
            <w:r>
              <w:rPr>
                <w:rFonts w:ascii="宋体" w:eastAsia="宋体" w:hAnsi="宋体"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jc w:val="center"/>
              <w:rPr>
                <w:rFonts w:ascii="宋体" w:eastAsia="宋体" w:hAnsi="宋体"/>
                <w:szCs w:val="21"/>
              </w:rPr>
            </w:pPr>
            <w:r>
              <w:rPr>
                <w:rFonts w:ascii="宋体" w:eastAsia="宋体" w:hAnsi="宋体"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jc w:val="center"/>
              <w:rPr>
                <w:rFonts w:ascii="宋体" w:eastAsia="宋体" w:hAnsi="宋体"/>
                <w:szCs w:val="21"/>
              </w:rPr>
            </w:pPr>
            <w:r>
              <w:rPr>
                <w:rFonts w:ascii="宋体" w:eastAsia="宋体" w:hAnsi="宋体" w:hint="eastAsia"/>
                <w:szCs w:val="21"/>
              </w:rPr>
              <w:t>2</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姓名</w:t>
            </w:r>
          </w:p>
        </w:tc>
        <w:tc>
          <w:tcPr>
            <w:tcW w:w="274"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专业技术职务</w:t>
            </w:r>
          </w:p>
        </w:tc>
        <w:tc>
          <w:tcPr>
            <w:tcW w:w="43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最高学历</w:t>
            </w:r>
          </w:p>
        </w:tc>
        <w:tc>
          <w:tcPr>
            <w:tcW w:w="433"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最高学位</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研究方向</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导师类型</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是否有行业经历</w:t>
            </w:r>
          </w:p>
        </w:tc>
        <w:tc>
          <w:tcPr>
            <w:tcW w:w="932"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其他情况介绍</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袁青燕</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管理理论与企业管理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adjustRightInd w:val="0"/>
              <w:snapToGrid w:val="0"/>
              <w:rPr>
                <w:rFonts w:ascii="宋体" w:eastAsia="宋体" w:hAnsi="宋体" w:cs="宋体"/>
                <w:color w:val="000000"/>
                <w:kern w:val="0"/>
                <w:szCs w:val="21"/>
              </w:rPr>
            </w:pPr>
            <w:r>
              <w:rPr>
                <w:rFonts w:ascii="宋体" w:eastAsia="宋体" w:hAnsi="宋体" w:cs="宋体" w:hint="eastAsia"/>
                <w:color w:val="000000"/>
                <w:kern w:val="0"/>
                <w:sz w:val="18"/>
                <w:szCs w:val="18"/>
              </w:rPr>
              <w:t>主持国家社科基金1项，主持省级课题6项，发表学术论文20余篇，出版专著1部，副主编教材1部，指导学生参加国家级学科竞赛获一等奖2项，二等奖1项，三等奖3项，省级学科竞赛获二等奖3项，三等奖6项。</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苏小玲</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硕士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产业经济学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主持完成或在研各类科研、教研课题10多项，参与研究国家级项目1项、省级项目7项。发表论文10多篇。入选教育部院校评估评估专家、江西省科技厅评审专家。指导国家级、省级、校级学生科研、创新、创业、比赛等项目近30项。</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刘兰勇</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政治经济学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 w:val="18"/>
                <w:szCs w:val="18"/>
              </w:rPr>
              <w:t>指导学生参加比赛获得国家级和省级奖励5次，参与6项国家自然科学基金项目和省级项目，在SAGE Open、国际贸易、种植与养殖、青海师范大学学报等国内外期刊发表论文4篇。</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学位方向</w:t>
            </w:r>
          </w:p>
        </w:tc>
        <w:tc>
          <w:tcPr>
            <w:tcW w:w="2291" w:type="pct"/>
            <w:gridSpan w:val="6"/>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跨境电子商务</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3</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姓名</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专业技</w:t>
            </w:r>
            <w:r>
              <w:rPr>
                <w:rFonts w:ascii="宋体" w:eastAsia="宋体" w:hAnsi="宋体" w:cs="宋体" w:hint="eastAsia"/>
                <w:color w:val="000000"/>
                <w:kern w:val="0"/>
                <w:szCs w:val="21"/>
              </w:rPr>
              <w:lastRenderedPageBreak/>
              <w:t>术职务</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最高学</w:t>
            </w:r>
            <w:r>
              <w:rPr>
                <w:rFonts w:ascii="宋体" w:eastAsia="宋体" w:hAnsi="宋体" w:cs="宋体" w:hint="eastAsia"/>
                <w:color w:val="000000"/>
                <w:kern w:val="0"/>
                <w:szCs w:val="21"/>
              </w:rPr>
              <w:lastRenderedPageBreak/>
              <w:t>历</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最高学</w:t>
            </w:r>
            <w:r>
              <w:rPr>
                <w:rFonts w:ascii="宋体" w:eastAsia="宋体" w:hAnsi="宋体" w:cs="宋体" w:hint="eastAsia"/>
                <w:color w:val="000000"/>
                <w:kern w:val="0"/>
                <w:szCs w:val="21"/>
              </w:rPr>
              <w:lastRenderedPageBreak/>
              <w:t>位</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毕业专</w:t>
            </w:r>
            <w:r>
              <w:rPr>
                <w:rFonts w:ascii="宋体" w:eastAsia="宋体" w:hAnsi="宋体" w:cs="宋体" w:hint="eastAsia"/>
                <w:color w:val="000000"/>
                <w:kern w:val="0"/>
                <w:szCs w:val="21"/>
              </w:rPr>
              <w:lastRenderedPageBreak/>
              <w:t>业</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导师类</w:t>
            </w:r>
            <w:r>
              <w:rPr>
                <w:rFonts w:ascii="宋体" w:eastAsia="宋体" w:hAnsi="宋体" w:cs="宋体" w:hint="eastAsia"/>
                <w:color w:val="000000"/>
                <w:kern w:val="0"/>
                <w:szCs w:val="21"/>
              </w:rPr>
              <w:lastRenderedPageBreak/>
              <w:t>型</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是否有</w:t>
            </w:r>
            <w:r>
              <w:rPr>
                <w:rFonts w:ascii="宋体" w:eastAsia="宋体" w:hAnsi="宋体" w:cs="宋体" w:hint="eastAsia"/>
                <w:color w:val="000000"/>
                <w:kern w:val="0"/>
                <w:szCs w:val="21"/>
              </w:rPr>
              <w:lastRenderedPageBreak/>
              <w:t>行业经历</w:t>
            </w:r>
          </w:p>
        </w:tc>
        <w:tc>
          <w:tcPr>
            <w:tcW w:w="932"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其他情况介绍</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张定方</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55</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硕士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电子商务、教育经济与管理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adjustRightInd w:val="0"/>
              <w:snapToGrid w:val="0"/>
              <w:rPr>
                <w:rFonts w:ascii="宋体" w:eastAsia="宋体" w:hAnsi="宋体" w:cs="宋体"/>
                <w:color w:val="000000"/>
                <w:kern w:val="0"/>
                <w:sz w:val="18"/>
                <w:szCs w:val="18"/>
              </w:rPr>
            </w:pPr>
            <w:r>
              <w:rPr>
                <w:rFonts w:ascii="宋体" w:eastAsia="宋体" w:hAnsi="宋体" w:cs="宋体" w:hint="eastAsia"/>
                <w:color w:val="000000"/>
                <w:kern w:val="0"/>
                <w:sz w:val="18"/>
                <w:szCs w:val="18"/>
              </w:rPr>
              <w:t>主持或国家级、省部级科研项目近10项，发表独撰或第一作者的学术论文20篇，分别发表在江西社科、学术交流、商业时代、企业经济、现代教育管理、职业技术教育等核心期刊上。</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舒斯亮</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42</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跨境电商、供应链管理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adjustRightInd w:val="0"/>
              <w:snapToGrid w:val="0"/>
              <w:rPr>
                <w:rFonts w:ascii="宋体" w:eastAsia="宋体" w:hAnsi="宋体" w:cs="宋体"/>
                <w:color w:val="000000"/>
                <w:kern w:val="0"/>
                <w:sz w:val="18"/>
                <w:szCs w:val="18"/>
              </w:rPr>
            </w:pPr>
            <w:r>
              <w:rPr>
                <w:rFonts w:ascii="宋体" w:eastAsia="宋体" w:hAnsi="宋体" w:cs="宋体" w:hint="eastAsia"/>
                <w:color w:val="000000"/>
                <w:kern w:val="0"/>
                <w:sz w:val="18"/>
                <w:szCs w:val="18"/>
              </w:rPr>
              <w:t>主持在研国家自然科学基金项目1项，主持完成省级项目4项，在中国管理科学、软科学、运筹与管理、控制与决策、计算机集成制造系统等期刊上发表CSSCI论文6篇，CSCD论文3篇，北大核心论文4篇。</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杨春季</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46</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color w:val="000000"/>
                <w:kern w:val="0"/>
                <w:szCs w:val="21"/>
              </w:rPr>
              <w:t>互联网经济</w:t>
            </w:r>
            <w:r>
              <w:rPr>
                <w:rFonts w:ascii="宋体" w:eastAsia="宋体" w:hAnsi="宋体" w:cs="宋体" w:hint="eastAsia"/>
                <w:color w:val="000000"/>
                <w:kern w:val="0"/>
                <w:szCs w:val="21"/>
              </w:rPr>
              <w:t>、跨境电子商务</w:t>
            </w:r>
            <w:r>
              <w:rPr>
                <w:rFonts w:ascii="宋体" w:eastAsia="宋体" w:hAnsi="宋体" w:cs="宋体"/>
                <w:color w:val="000000"/>
                <w:kern w:val="0"/>
                <w:szCs w:val="21"/>
              </w:rPr>
              <w:t>和</w:t>
            </w:r>
            <w:r>
              <w:rPr>
                <w:rFonts w:ascii="宋体" w:eastAsia="宋体" w:hAnsi="宋体" w:cs="宋体" w:hint="eastAsia"/>
                <w:color w:val="000000"/>
                <w:kern w:val="0"/>
                <w:szCs w:val="21"/>
              </w:rPr>
              <w:t>区域经济</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adjustRightInd w:val="0"/>
              <w:snapToGrid w:val="0"/>
              <w:rPr>
                <w:rFonts w:ascii="宋体" w:eastAsia="宋体" w:hAnsi="宋体"/>
              </w:rPr>
            </w:pPr>
            <w:r>
              <w:rPr>
                <w:rFonts w:ascii="宋体" w:eastAsia="宋体" w:hAnsi="宋体" w:cs="宋体"/>
                <w:color w:val="000000"/>
                <w:kern w:val="0"/>
                <w:sz w:val="18"/>
                <w:szCs w:val="18"/>
              </w:rPr>
              <w:t>主持完成省级课题</w:t>
            </w:r>
            <w:r>
              <w:rPr>
                <w:rFonts w:ascii="宋体" w:eastAsia="宋体" w:hAnsi="宋体" w:cs="宋体" w:hint="eastAsia"/>
                <w:color w:val="000000"/>
                <w:kern w:val="0"/>
                <w:sz w:val="18"/>
                <w:szCs w:val="18"/>
              </w:rPr>
              <w:t>7</w:t>
            </w:r>
            <w:r>
              <w:rPr>
                <w:rFonts w:ascii="宋体" w:eastAsia="宋体" w:hAnsi="宋体" w:cs="宋体"/>
                <w:color w:val="000000"/>
                <w:kern w:val="0"/>
                <w:sz w:val="18"/>
                <w:szCs w:val="18"/>
              </w:rPr>
              <w:t>项</w:t>
            </w:r>
            <w:r>
              <w:rPr>
                <w:rFonts w:ascii="宋体" w:eastAsia="宋体" w:hAnsi="宋体" w:cs="宋体" w:hint="eastAsia"/>
                <w:color w:val="000000"/>
                <w:kern w:val="0"/>
                <w:sz w:val="18"/>
                <w:szCs w:val="18"/>
              </w:rPr>
              <w:t>，在研省级课题1项，出版专著1部，</w:t>
            </w:r>
            <w:r>
              <w:rPr>
                <w:rFonts w:ascii="宋体" w:eastAsia="宋体" w:hAnsi="宋体" w:cs="宋体"/>
                <w:color w:val="000000"/>
                <w:kern w:val="0"/>
                <w:sz w:val="18"/>
                <w:szCs w:val="18"/>
              </w:rPr>
              <w:t>发表CSSCI、北大核心等期刊论文20余篇。</w:t>
            </w:r>
            <w:r>
              <w:rPr>
                <w:rFonts w:ascii="宋体" w:eastAsia="宋体" w:hAnsi="宋体" w:cs="宋体" w:hint="eastAsia"/>
                <w:color w:val="000000"/>
                <w:kern w:val="0"/>
                <w:sz w:val="18"/>
                <w:szCs w:val="18"/>
              </w:rPr>
              <w:t>研究成果</w:t>
            </w:r>
            <w:r>
              <w:rPr>
                <w:rFonts w:ascii="宋体" w:eastAsia="宋体" w:hAnsi="宋体" w:cs="宋体"/>
                <w:color w:val="000000"/>
                <w:kern w:val="0"/>
                <w:sz w:val="18"/>
                <w:szCs w:val="18"/>
              </w:rPr>
              <w:t>曾获江西省第四届教育科学优秀成果奖三等奖一项</w:t>
            </w:r>
            <w:r>
              <w:rPr>
                <w:rFonts w:ascii="宋体" w:eastAsia="宋体" w:hAnsi="宋体" w:cs="宋体" w:hint="eastAsia"/>
                <w:color w:val="000000"/>
                <w:kern w:val="0"/>
                <w:sz w:val="18"/>
                <w:szCs w:val="18"/>
              </w:rPr>
              <w:t>，校级荣誉多项</w:t>
            </w:r>
            <w:r>
              <w:rPr>
                <w:rFonts w:ascii="宋体" w:eastAsia="宋体" w:hAnsi="宋体" w:cs="宋体"/>
                <w:color w:val="000000"/>
                <w:kern w:val="0"/>
                <w:sz w:val="18"/>
                <w:szCs w:val="18"/>
              </w:rPr>
              <w:t>。</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学位方向</w:t>
            </w:r>
          </w:p>
        </w:tc>
        <w:tc>
          <w:tcPr>
            <w:tcW w:w="2291" w:type="pct"/>
            <w:gridSpan w:val="6"/>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国际经济合作</w:t>
            </w:r>
          </w:p>
        </w:tc>
        <w:tc>
          <w:tcPr>
            <w:tcW w:w="519"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szCs w:val="21"/>
              </w:rPr>
            </w:pPr>
            <w:r>
              <w:rPr>
                <w:rFonts w:ascii="宋体" w:eastAsia="宋体" w:hAnsi="宋体" w:hint="eastAsia"/>
                <w:szCs w:val="21"/>
              </w:rPr>
              <w:t>1</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姓名</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专业技术职务</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最高学历</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最高学位</w:t>
            </w:r>
          </w:p>
        </w:tc>
        <w:tc>
          <w:tcPr>
            <w:tcW w:w="52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毕业专业</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导师类型</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是否有行业经历</w:t>
            </w:r>
          </w:p>
        </w:tc>
        <w:tc>
          <w:tcPr>
            <w:tcW w:w="932" w:type="pct"/>
            <w:tcBorders>
              <w:top w:val="single" w:sz="4" w:space="0" w:color="000000"/>
              <w:left w:val="single" w:sz="4" w:space="0" w:color="000000"/>
              <w:bottom w:val="single" w:sz="4" w:space="0" w:color="000000"/>
              <w:right w:val="single" w:sz="4" w:space="0" w:color="000000"/>
            </w:tcBorders>
          </w:tcPr>
          <w:p w:rsidR="00560F7F" w:rsidRDefault="00560F7F">
            <w:pPr>
              <w:widowControl/>
              <w:adjustRightInd w:val="0"/>
              <w:snapToGrid w:val="0"/>
              <w:jc w:val="center"/>
              <w:rPr>
                <w:rFonts w:ascii="宋体" w:eastAsia="宋体" w:hAnsi="宋体" w:cs="宋体"/>
                <w:color w:val="000000"/>
                <w:kern w:val="0"/>
                <w:szCs w:val="21"/>
              </w:rPr>
            </w:pPr>
          </w:p>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其他情况介绍</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熊青龙</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46</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国际发展援助、机器学习与发展经济学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rPr>
                <w:rFonts w:ascii="宋体" w:eastAsia="宋体" w:hAnsi="宋体" w:cs="宋体"/>
                <w:color w:val="000000"/>
                <w:kern w:val="0"/>
                <w:sz w:val="18"/>
                <w:szCs w:val="18"/>
              </w:rPr>
            </w:pPr>
            <w:r>
              <w:rPr>
                <w:rFonts w:ascii="宋体" w:eastAsia="宋体" w:hAnsi="宋体" w:cs="宋体" w:hint="eastAsia"/>
                <w:color w:val="000000"/>
                <w:kern w:val="0"/>
                <w:sz w:val="18"/>
                <w:szCs w:val="18"/>
              </w:rPr>
              <w:t>美国林肯纪念大学访问学者，中国世界经济学会理事，民盟江西省委会经济专委会副主任。主持完成国家社科基金项目一项，出版专著一部，发表核心期刊论文10余篇。</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马伟伟</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38</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企业运营与管理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rPr>
                <w:rFonts w:ascii="宋体" w:eastAsia="宋体" w:hAnsi="宋体" w:cs="宋体"/>
                <w:color w:val="000000"/>
                <w:kern w:val="0"/>
                <w:sz w:val="18"/>
                <w:szCs w:val="18"/>
              </w:rPr>
            </w:pPr>
            <w:r>
              <w:rPr>
                <w:rFonts w:ascii="宋体" w:eastAsia="宋体" w:hAnsi="宋体" w:cs="宋体" w:hint="eastAsia"/>
                <w:color w:val="000000"/>
                <w:kern w:val="0"/>
                <w:sz w:val="18"/>
                <w:szCs w:val="18"/>
              </w:rPr>
              <w:t>主持课题省级课题2项（在研），参与国家级课题</w:t>
            </w:r>
            <w:r>
              <w:rPr>
                <w:rFonts w:ascii="宋体" w:eastAsia="宋体" w:hAnsi="宋体" w:cs="宋体"/>
                <w:color w:val="000000"/>
                <w:kern w:val="0"/>
                <w:sz w:val="18"/>
                <w:szCs w:val="18"/>
              </w:rPr>
              <w:t>2</w:t>
            </w:r>
            <w:r>
              <w:rPr>
                <w:rFonts w:ascii="宋体" w:eastAsia="宋体" w:hAnsi="宋体" w:cs="宋体" w:hint="eastAsia"/>
                <w:color w:val="000000"/>
                <w:kern w:val="0"/>
                <w:sz w:val="18"/>
                <w:szCs w:val="18"/>
              </w:rPr>
              <w:t>项，独著发表CSSCI论文1篇，其他类型刊物论文若干。指导学生参加全国物流专业比赛，获全国一等奖、三等奖，</w:t>
            </w:r>
            <w:r>
              <w:rPr>
                <w:rFonts w:ascii="宋体" w:eastAsia="宋体" w:hAnsi="宋体" w:cs="宋体" w:hint="eastAsia"/>
                <w:color w:val="000000"/>
                <w:kern w:val="0"/>
                <w:sz w:val="18"/>
                <w:szCs w:val="18"/>
              </w:rPr>
              <w:lastRenderedPageBreak/>
              <w:t>指导学生参加江西省科技创新竞赛，获省级三等奖。</w:t>
            </w:r>
          </w:p>
        </w:tc>
      </w:tr>
      <w:tr w:rsidR="00560F7F">
        <w:trPr>
          <w:trHeight w:val="210"/>
        </w:trPr>
        <w:tc>
          <w:tcPr>
            <w:tcW w:w="308"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熊娟娟</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33</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数量经济学分析和运用</w:t>
            </w:r>
          </w:p>
        </w:tc>
        <w:tc>
          <w:tcPr>
            <w:tcW w:w="432" w:type="pct"/>
            <w:tcBorders>
              <w:top w:val="single" w:sz="4" w:space="0" w:color="000000"/>
              <w:left w:val="single" w:sz="4" w:space="0" w:color="000000"/>
              <w:bottom w:val="single" w:sz="4" w:space="0" w:color="000000"/>
              <w:right w:val="single" w:sz="4" w:space="0" w:color="000000"/>
            </w:tcBorders>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硕导</w:t>
            </w:r>
          </w:p>
        </w:tc>
        <w:tc>
          <w:tcPr>
            <w:tcW w:w="518" w:type="pct"/>
            <w:tcBorders>
              <w:top w:val="single" w:sz="4" w:space="0" w:color="000000"/>
              <w:left w:val="single" w:sz="4" w:space="0" w:color="000000"/>
              <w:bottom w:val="single" w:sz="4" w:space="0" w:color="000000"/>
              <w:right w:val="single" w:sz="4" w:space="0" w:color="000000"/>
            </w:tcBorders>
            <w:noWrap/>
            <w:vAlign w:val="center"/>
          </w:tcPr>
          <w:p w:rsidR="00560F7F" w:rsidRDefault="00D4483B">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560F7F" w:rsidRDefault="00D4483B">
            <w:pPr>
              <w:widowControl/>
              <w:adjustRightInd w:val="0"/>
              <w:snapToGrid w:val="0"/>
              <w:rPr>
                <w:rFonts w:ascii="宋体" w:eastAsia="宋体" w:hAnsi="宋体" w:cs="宋体"/>
                <w:color w:val="000000"/>
                <w:kern w:val="0"/>
                <w:szCs w:val="21"/>
              </w:rPr>
            </w:pPr>
            <w:r>
              <w:rPr>
                <w:rFonts w:ascii="宋体" w:eastAsia="宋体" w:hAnsi="宋体" w:cs="宋体" w:hint="eastAsia"/>
                <w:color w:val="000000"/>
                <w:kern w:val="0"/>
                <w:sz w:val="18"/>
                <w:szCs w:val="18"/>
              </w:rPr>
              <w:t>主持省级课题一项，参与国家重大课题、财政厅课题、省级课题等8项，发表cssci的论文1篇，被人大复印资料全文转载论文1篇。</w:t>
            </w:r>
          </w:p>
        </w:tc>
      </w:tr>
    </w:tbl>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4.3 2022年科学研究</w:t>
      </w:r>
    </w:p>
    <w:p w:rsidR="00560F7F" w:rsidRDefault="00D4483B" w:rsidP="004E4521">
      <w:pPr>
        <w:pStyle w:val="1"/>
        <w:snapToGrid w:val="0"/>
        <w:spacing w:afterLines="50" w:line="400" w:lineRule="exact"/>
        <w:ind w:firstLine="480"/>
        <w:rPr>
          <w:rStyle w:val="NormalCharacter"/>
          <w:rFonts w:ascii="宋体" w:eastAsia="宋体" w:hAnsi="宋体" w:cs="黑体"/>
          <w:bCs/>
        </w:rPr>
      </w:pPr>
      <w:r>
        <w:rPr>
          <w:rStyle w:val="NormalCharacter"/>
          <w:rFonts w:ascii="宋体" w:eastAsia="宋体" w:hAnsi="宋体" w:cs="黑体" w:hint="eastAsia"/>
          <w:bCs/>
        </w:rPr>
        <w:t>2022年，在纵向课题方面，本学位点</w:t>
      </w:r>
      <w:r w:rsidR="008D4F61">
        <w:rPr>
          <w:rStyle w:val="NormalCharacter"/>
          <w:rFonts w:ascii="宋体" w:eastAsia="宋体" w:hAnsi="宋体" w:cs="黑体" w:hint="eastAsia"/>
          <w:bCs/>
        </w:rPr>
        <w:t>纵向课题立项5项，横向课题立项5项，其中纵向项目经费1</w:t>
      </w:r>
      <w:r>
        <w:rPr>
          <w:rStyle w:val="NormalCharacter"/>
          <w:rFonts w:ascii="宋体" w:eastAsia="宋体" w:hAnsi="宋体" w:cs="黑体" w:hint="eastAsia"/>
          <w:bCs/>
        </w:rPr>
        <w:t>4.1</w:t>
      </w:r>
      <w:r w:rsidR="008D4F61">
        <w:rPr>
          <w:rStyle w:val="NormalCharacter"/>
          <w:rFonts w:ascii="宋体" w:eastAsia="宋体" w:hAnsi="宋体" w:cs="黑体" w:hint="eastAsia"/>
          <w:bCs/>
        </w:rPr>
        <w:t>，横向经费49</w:t>
      </w:r>
      <w:r>
        <w:rPr>
          <w:rStyle w:val="NormalCharacter"/>
          <w:rFonts w:ascii="宋体" w:eastAsia="宋体" w:hAnsi="宋体" w:cs="黑体" w:hint="eastAsia"/>
          <w:bCs/>
        </w:rPr>
        <w:t>万。</w:t>
      </w:r>
    </w:p>
    <w:p w:rsidR="008D4F61" w:rsidRPr="008D4F61" w:rsidRDefault="008D4F61" w:rsidP="004E4521">
      <w:pPr>
        <w:pStyle w:val="1"/>
        <w:snapToGrid w:val="0"/>
        <w:spacing w:beforeLines="50"/>
        <w:ind w:firstLineChars="0" w:firstLine="0"/>
        <w:jc w:val="center"/>
        <w:rPr>
          <w:rStyle w:val="NormalCharacter"/>
          <w:rFonts w:ascii="宋体" w:eastAsia="宋体" w:hAnsi="宋体" w:cs="方正仿宋简体"/>
          <w:bCs/>
          <w:sz w:val="21"/>
          <w:szCs w:val="21"/>
        </w:rPr>
      </w:pPr>
      <w:r>
        <w:rPr>
          <w:rStyle w:val="NormalCharacter"/>
          <w:rFonts w:ascii="宋体" w:eastAsia="宋体" w:hAnsi="宋体" w:cs="方正仿宋简体" w:hint="eastAsia"/>
          <w:bCs/>
          <w:sz w:val="21"/>
          <w:szCs w:val="21"/>
        </w:rPr>
        <w:t>表7  2022年度承担的代表性科研项目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846"/>
        <w:gridCol w:w="2142"/>
        <w:gridCol w:w="1450"/>
        <w:gridCol w:w="1133"/>
        <w:gridCol w:w="1133"/>
        <w:gridCol w:w="1185"/>
      </w:tblGrid>
      <w:tr w:rsidR="008D4F61" w:rsidRPr="003F193D" w:rsidTr="00876557">
        <w:trPr>
          <w:trHeight w:val="559"/>
        </w:trPr>
        <w:tc>
          <w:tcPr>
            <w:tcW w:w="371" w:type="pct"/>
            <w:shd w:val="clear" w:color="auto" w:fill="auto"/>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序号</w:t>
            </w:r>
          </w:p>
        </w:tc>
        <w:tc>
          <w:tcPr>
            <w:tcW w:w="496" w:type="pct"/>
            <w:shd w:val="clear" w:color="auto" w:fill="auto"/>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姓名</w:t>
            </w:r>
          </w:p>
        </w:tc>
        <w:tc>
          <w:tcPr>
            <w:tcW w:w="1257" w:type="pct"/>
            <w:shd w:val="clear" w:color="auto" w:fill="auto"/>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项目名称</w:t>
            </w:r>
          </w:p>
        </w:tc>
        <w:tc>
          <w:tcPr>
            <w:tcW w:w="851" w:type="pct"/>
            <w:shd w:val="clear" w:color="auto" w:fill="auto"/>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项目来源</w:t>
            </w:r>
          </w:p>
        </w:tc>
        <w:tc>
          <w:tcPr>
            <w:tcW w:w="665" w:type="pct"/>
            <w:shd w:val="clear" w:color="auto" w:fill="auto"/>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到账经费（万元)</w:t>
            </w:r>
          </w:p>
        </w:tc>
        <w:tc>
          <w:tcPr>
            <w:tcW w:w="665" w:type="pct"/>
            <w:shd w:val="clear" w:color="auto" w:fill="auto"/>
            <w:vAlign w:val="center"/>
            <w:hideMark/>
          </w:tcPr>
          <w:p w:rsidR="003F193D" w:rsidRPr="003F193D" w:rsidRDefault="008D4F61" w:rsidP="003F193D">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立项时间</w:t>
            </w:r>
          </w:p>
        </w:tc>
        <w:tc>
          <w:tcPr>
            <w:tcW w:w="695" w:type="pct"/>
            <w:shd w:val="clear" w:color="auto" w:fill="auto"/>
            <w:noWrap/>
            <w:vAlign w:val="center"/>
            <w:hideMark/>
          </w:tcPr>
          <w:p w:rsidR="003F193D" w:rsidRPr="003F193D" w:rsidRDefault="003F193D"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项目分类</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1</w:t>
            </w:r>
          </w:p>
        </w:tc>
        <w:tc>
          <w:tcPr>
            <w:tcW w:w="496"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熊娟娟</w:t>
            </w:r>
          </w:p>
        </w:tc>
        <w:tc>
          <w:tcPr>
            <w:tcW w:w="1257"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高质量发展下江西省产学研创新资源错配优化路径研究</w:t>
            </w:r>
          </w:p>
        </w:tc>
        <w:tc>
          <w:tcPr>
            <w:tcW w:w="851"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江西省教育科学规划办</w:t>
            </w:r>
          </w:p>
        </w:tc>
        <w:tc>
          <w:tcPr>
            <w:tcW w:w="665"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1.6</w:t>
            </w:r>
          </w:p>
        </w:tc>
        <w:tc>
          <w:tcPr>
            <w:tcW w:w="665" w:type="pct"/>
            <w:shd w:val="clear" w:color="auto" w:fill="auto"/>
            <w:hideMark/>
          </w:tcPr>
          <w:p w:rsidR="008D4F61" w:rsidRPr="003F193D" w:rsidRDefault="008D4F61" w:rsidP="008D4F61">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2022.</w:t>
            </w:r>
            <w:r>
              <w:rPr>
                <w:rFonts w:ascii="宋体" w:eastAsia="宋体" w:hAnsi="宋体" w:cs="宋体" w:hint="eastAsia"/>
                <w:color w:val="000000"/>
                <w:kern w:val="0"/>
                <w:szCs w:val="21"/>
              </w:rPr>
              <w:t>0</w:t>
            </w:r>
            <w:r w:rsidRPr="003F193D">
              <w:rPr>
                <w:rFonts w:ascii="宋体" w:eastAsia="宋体" w:hAnsi="宋体" w:cs="宋体" w:hint="eastAsia"/>
                <w:color w:val="000000"/>
                <w:kern w:val="0"/>
                <w:szCs w:val="21"/>
              </w:rPr>
              <w:t>8</w:t>
            </w:r>
          </w:p>
        </w:tc>
        <w:tc>
          <w:tcPr>
            <w:tcW w:w="695"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纵向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2</w:t>
            </w:r>
          </w:p>
        </w:tc>
        <w:tc>
          <w:tcPr>
            <w:tcW w:w="496"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熊娟娟</w:t>
            </w:r>
          </w:p>
        </w:tc>
        <w:tc>
          <w:tcPr>
            <w:tcW w:w="1257"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创新要素集聚对区域创新效率的门槛效应</w:t>
            </w:r>
          </w:p>
        </w:tc>
        <w:tc>
          <w:tcPr>
            <w:tcW w:w="851"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博士科研启动金</w:t>
            </w:r>
          </w:p>
        </w:tc>
        <w:tc>
          <w:tcPr>
            <w:tcW w:w="665"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2.5</w:t>
            </w:r>
          </w:p>
        </w:tc>
        <w:tc>
          <w:tcPr>
            <w:tcW w:w="665" w:type="pct"/>
            <w:shd w:val="clear" w:color="auto" w:fill="auto"/>
            <w:hideMark/>
          </w:tcPr>
          <w:p w:rsidR="008D4F61" w:rsidRPr="003F193D" w:rsidRDefault="008D4F61" w:rsidP="008D4F61">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2022.</w:t>
            </w:r>
            <w:r>
              <w:rPr>
                <w:rFonts w:ascii="宋体" w:eastAsia="宋体" w:hAnsi="宋体" w:cs="宋体" w:hint="eastAsia"/>
                <w:color w:val="000000"/>
                <w:kern w:val="0"/>
                <w:szCs w:val="21"/>
              </w:rPr>
              <w:t>0</w:t>
            </w:r>
            <w:r w:rsidRPr="003F193D">
              <w:rPr>
                <w:rFonts w:ascii="宋体" w:eastAsia="宋体" w:hAnsi="宋体" w:cs="宋体" w:hint="eastAsia"/>
                <w:color w:val="000000"/>
                <w:kern w:val="0"/>
                <w:szCs w:val="21"/>
              </w:rPr>
              <w:t>1</w:t>
            </w:r>
          </w:p>
        </w:tc>
        <w:tc>
          <w:tcPr>
            <w:tcW w:w="695"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纵向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3</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杨春季</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新时代我国共同富裕的互联网驱动机制及实现路径研究</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教育厅</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3</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2022.01</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纵向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4</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熊娟娟</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创新要素集聚对区域创新效率的门槛效应及财政政策研究</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科研处</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5</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2022.01</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纵向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5</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杨振华</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江西省中小企业数字化转型的动力机理、影响机制与实现路径研究</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江西省教育厅社政处</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纵向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6</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陈明军</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进贤县</w:t>
            </w:r>
            <w:r w:rsidRPr="00876557">
              <w:rPr>
                <w:rFonts w:ascii="Arial" w:eastAsia="宋体" w:hAnsi="Arial" w:cs="Arial"/>
                <w:kern w:val="0"/>
                <w:szCs w:val="21"/>
              </w:rPr>
              <w:t>“</w:t>
            </w:r>
            <w:r w:rsidRPr="00876557">
              <w:rPr>
                <w:rFonts w:ascii="宋体" w:eastAsia="宋体" w:hAnsi="宋体" w:cs="宋体" w:hint="eastAsia"/>
                <w:kern w:val="0"/>
                <w:szCs w:val="21"/>
              </w:rPr>
              <w:t>两整治一提升</w:t>
            </w:r>
            <w:r w:rsidRPr="00876557">
              <w:rPr>
                <w:rFonts w:ascii="Arial" w:eastAsia="宋体" w:hAnsi="Arial" w:cs="Arial"/>
                <w:kern w:val="0"/>
                <w:szCs w:val="21"/>
              </w:rPr>
              <w:t>”</w:t>
            </w:r>
            <w:r w:rsidRPr="00876557">
              <w:rPr>
                <w:rFonts w:ascii="宋体" w:eastAsia="宋体" w:hAnsi="宋体" w:cs="宋体" w:hint="eastAsia"/>
                <w:kern w:val="0"/>
                <w:szCs w:val="21"/>
              </w:rPr>
              <w:t>道路绿化项目成本控制研究服务</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江西文化艺术基金管理中心（江西省艺术研究院）</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10</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横向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7</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罗凤兰</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南昌市西湖区居民消费难点调查</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国家语委科研规划领导小组办公室</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3</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横向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8</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杨振华</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中法红酒进出口贸易市场调查服务</w:t>
            </w:r>
          </w:p>
        </w:tc>
        <w:tc>
          <w:tcPr>
            <w:tcW w:w="851" w:type="pct"/>
            <w:shd w:val="clear" w:color="auto" w:fill="auto"/>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江西文化艺术基金管理中心</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6</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横向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9</w:t>
            </w:r>
          </w:p>
        </w:tc>
        <w:tc>
          <w:tcPr>
            <w:tcW w:w="496" w:type="pct"/>
            <w:shd w:val="clear" w:color="auto" w:fill="auto"/>
            <w:noWrap/>
            <w:vAlign w:val="bottom"/>
            <w:hideMark/>
          </w:tcPr>
          <w:p w:rsidR="008D4F61" w:rsidRPr="00876557" w:rsidRDefault="008D4F61" w:rsidP="003F193D">
            <w:pPr>
              <w:widowControl/>
              <w:adjustRightInd w:val="0"/>
              <w:snapToGrid w:val="0"/>
              <w:jc w:val="center"/>
              <w:rPr>
                <w:rFonts w:ascii="宋体" w:eastAsia="宋体" w:hAnsi="宋体" w:cs="宋体"/>
                <w:kern w:val="0"/>
                <w:szCs w:val="21"/>
              </w:rPr>
            </w:pPr>
            <w:r w:rsidRPr="00876557">
              <w:rPr>
                <w:rFonts w:ascii="宋体" w:eastAsia="宋体" w:hAnsi="宋体" w:cs="宋体" w:hint="eastAsia"/>
                <w:kern w:val="0"/>
                <w:szCs w:val="21"/>
              </w:rPr>
              <w:t>李艳</w:t>
            </w:r>
          </w:p>
        </w:tc>
        <w:tc>
          <w:tcPr>
            <w:tcW w:w="1257" w:type="pct"/>
            <w:shd w:val="clear" w:color="auto" w:fill="auto"/>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江西省教育行业电子商务应用情况数据调研服务</w:t>
            </w:r>
          </w:p>
        </w:tc>
        <w:tc>
          <w:tcPr>
            <w:tcW w:w="851" w:type="pct"/>
            <w:shd w:val="clear" w:color="auto" w:fill="auto"/>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江西文化艺术基金管理中心</w:t>
            </w:r>
          </w:p>
        </w:tc>
        <w:tc>
          <w:tcPr>
            <w:tcW w:w="66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15</w:t>
            </w:r>
          </w:p>
        </w:tc>
        <w:tc>
          <w:tcPr>
            <w:tcW w:w="665" w:type="pct"/>
            <w:shd w:val="clear" w:color="auto" w:fill="auto"/>
            <w:noWrap/>
            <w:vAlign w:val="center"/>
            <w:hideMark/>
          </w:tcPr>
          <w:p w:rsidR="008D4F61" w:rsidRPr="00876557" w:rsidRDefault="008D4F61" w:rsidP="008D4F61">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876557" w:rsidRDefault="008D4F61" w:rsidP="003F193D">
            <w:pPr>
              <w:widowControl/>
              <w:adjustRightInd w:val="0"/>
              <w:snapToGrid w:val="0"/>
              <w:jc w:val="center"/>
              <w:rPr>
                <w:rFonts w:ascii="宋体" w:eastAsia="宋体" w:hAnsi="宋体" w:cs="宋体"/>
                <w:color w:val="000000"/>
                <w:kern w:val="0"/>
                <w:szCs w:val="21"/>
              </w:rPr>
            </w:pPr>
            <w:r w:rsidRPr="00876557">
              <w:rPr>
                <w:rFonts w:ascii="宋体" w:eastAsia="宋体" w:hAnsi="宋体" w:cs="宋体" w:hint="eastAsia"/>
                <w:color w:val="000000"/>
                <w:kern w:val="0"/>
                <w:szCs w:val="21"/>
              </w:rPr>
              <w:t>横向</w:t>
            </w:r>
          </w:p>
        </w:tc>
      </w:tr>
      <w:tr w:rsidR="008D4F61" w:rsidRPr="003F193D" w:rsidTr="00876557">
        <w:trPr>
          <w:trHeight w:val="559"/>
        </w:trPr>
        <w:tc>
          <w:tcPr>
            <w:tcW w:w="371" w:type="pct"/>
            <w:shd w:val="clear" w:color="auto" w:fill="auto"/>
            <w:noWrap/>
            <w:vAlign w:val="center"/>
            <w:hideMark/>
          </w:tcPr>
          <w:p w:rsidR="008D4F61" w:rsidRDefault="008D4F61" w:rsidP="00486A1B">
            <w:pPr>
              <w:adjustRightInd w:val="0"/>
              <w:snapToGrid w:val="0"/>
              <w:jc w:val="center"/>
              <w:rPr>
                <w:rFonts w:ascii="宋体" w:eastAsia="宋体" w:hAnsi="宋体" w:cs="宋体"/>
                <w:color w:val="000000"/>
                <w:sz w:val="22"/>
              </w:rPr>
            </w:pPr>
            <w:r>
              <w:rPr>
                <w:rFonts w:hint="eastAsia"/>
                <w:color w:val="000000"/>
                <w:sz w:val="22"/>
              </w:rPr>
              <w:t>10</w:t>
            </w:r>
          </w:p>
        </w:tc>
        <w:tc>
          <w:tcPr>
            <w:tcW w:w="496"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苏小玲</w:t>
            </w:r>
          </w:p>
        </w:tc>
        <w:tc>
          <w:tcPr>
            <w:tcW w:w="1257"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云南中小企业数字化转型情况数据调研服务</w:t>
            </w:r>
          </w:p>
        </w:tc>
        <w:tc>
          <w:tcPr>
            <w:tcW w:w="851"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云南鹏恩信息技术有限公司</w:t>
            </w:r>
          </w:p>
        </w:tc>
        <w:tc>
          <w:tcPr>
            <w:tcW w:w="665" w:type="pct"/>
            <w:shd w:val="clear" w:color="auto" w:fill="auto"/>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15</w:t>
            </w:r>
          </w:p>
        </w:tc>
        <w:tc>
          <w:tcPr>
            <w:tcW w:w="665" w:type="pct"/>
            <w:shd w:val="clear" w:color="auto" w:fill="auto"/>
            <w:hideMark/>
          </w:tcPr>
          <w:p w:rsidR="008D4F61" w:rsidRPr="003F193D" w:rsidRDefault="008D4F61" w:rsidP="008D4F61">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2022.12</w:t>
            </w:r>
          </w:p>
        </w:tc>
        <w:tc>
          <w:tcPr>
            <w:tcW w:w="695" w:type="pct"/>
            <w:shd w:val="clear" w:color="auto" w:fill="auto"/>
            <w:noWrap/>
            <w:vAlign w:val="center"/>
            <w:hideMark/>
          </w:tcPr>
          <w:p w:rsidR="008D4F61" w:rsidRPr="003F193D" w:rsidRDefault="008D4F61" w:rsidP="003F193D">
            <w:pPr>
              <w:widowControl/>
              <w:adjustRightInd w:val="0"/>
              <w:snapToGrid w:val="0"/>
              <w:jc w:val="center"/>
              <w:rPr>
                <w:rFonts w:ascii="宋体" w:eastAsia="宋体" w:hAnsi="宋体" w:cs="宋体"/>
                <w:color w:val="000000"/>
                <w:kern w:val="0"/>
                <w:szCs w:val="21"/>
              </w:rPr>
            </w:pPr>
            <w:r w:rsidRPr="003F193D">
              <w:rPr>
                <w:rFonts w:ascii="宋体" w:eastAsia="宋体" w:hAnsi="宋体" w:cs="宋体" w:hint="eastAsia"/>
                <w:color w:val="000000"/>
                <w:kern w:val="0"/>
                <w:szCs w:val="21"/>
              </w:rPr>
              <w:t>横向</w:t>
            </w:r>
          </w:p>
        </w:tc>
      </w:tr>
    </w:tbl>
    <w:p w:rsidR="001C54CC" w:rsidRDefault="00D4483B" w:rsidP="004E4521">
      <w:pPr>
        <w:pStyle w:val="1"/>
        <w:adjustRightInd w:val="0"/>
        <w:snapToGrid w:val="0"/>
        <w:spacing w:beforeLines="50" w:line="400" w:lineRule="exact"/>
        <w:ind w:firstLine="480"/>
        <w:rPr>
          <w:rStyle w:val="NormalCharacter"/>
          <w:rFonts w:ascii="宋体" w:eastAsia="宋体" w:hAnsi="宋体" w:cs="黑体"/>
          <w:bCs/>
        </w:rPr>
      </w:pPr>
      <w:r>
        <w:rPr>
          <w:rStyle w:val="NormalCharacter"/>
          <w:rFonts w:ascii="宋体" w:eastAsia="宋体" w:hAnsi="宋体" w:cs="黑体" w:hint="eastAsia"/>
          <w:bCs/>
        </w:rPr>
        <w:lastRenderedPageBreak/>
        <w:t>202</w:t>
      </w:r>
      <w:r>
        <w:rPr>
          <w:rStyle w:val="NormalCharacter"/>
          <w:rFonts w:ascii="宋体" w:eastAsia="宋体" w:hAnsi="宋体" w:cs="黑体"/>
          <w:bCs/>
        </w:rPr>
        <w:t>2</w:t>
      </w:r>
      <w:r>
        <w:rPr>
          <w:rStyle w:val="NormalCharacter"/>
          <w:rFonts w:ascii="宋体" w:eastAsia="宋体" w:hAnsi="宋体" w:cs="黑体" w:hint="eastAsia"/>
          <w:bCs/>
        </w:rPr>
        <w:t>年度，本学位点发表学术论文</w:t>
      </w:r>
      <w:r w:rsidR="00870972">
        <w:rPr>
          <w:rStyle w:val="NormalCharacter"/>
          <w:rFonts w:ascii="宋体" w:eastAsia="宋体" w:hAnsi="宋体" w:cs="黑体" w:hint="eastAsia"/>
          <w:bCs/>
        </w:rPr>
        <w:t>6</w:t>
      </w:r>
      <w:r>
        <w:rPr>
          <w:rStyle w:val="NormalCharacter"/>
          <w:rFonts w:ascii="宋体" w:eastAsia="宋体" w:hAnsi="宋体" w:cs="黑体" w:hint="eastAsia"/>
          <w:bCs/>
        </w:rPr>
        <w:t>篇</w:t>
      </w:r>
      <w:r w:rsidR="00AA407A">
        <w:rPr>
          <w:rStyle w:val="NormalCharacter"/>
          <w:rFonts w:ascii="宋体" w:eastAsia="宋体" w:hAnsi="宋体" w:cs="黑体" w:hint="eastAsia"/>
          <w:bCs/>
        </w:rPr>
        <w:t>,出版专著1部</w:t>
      </w:r>
      <w:r>
        <w:rPr>
          <w:rStyle w:val="NormalCharacter"/>
          <w:rFonts w:ascii="宋体" w:eastAsia="宋体" w:hAnsi="宋体" w:cs="黑体" w:hint="eastAsia"/>
          <w:bCs/>
        </w:rPr>
        <w:t>。其中，CSSCI论文</w:t>
      </w:r>
      <w:r w:rsidR="00870972">
        <w:rPr>
          <w:rStyle w:val="NormalCharacter"/>
          <w:rFonts w:ascii="宋体" w:eastAsia="宋体" w:hAnsi="宋体" w:cs="黑体" w:hint="eastAsia"/>
          <w:bCs/>
        </w:rPr>
        <w:t>1</w:t>
      </w:r>
      <w:r>
        <w:rPr>
          <w:rStyle w:val="NormalCharacter"/>
          <w:rFonts w:ascii="宋体" w:eastAsia="宋体" w:hAnsi="宋体" w:cs="黑体" w:hint="eastAsia"/>
          <w:bCs/>
        </w:rPr>
        <w:t>篇，北大中文核心</w:t>
      </w:r>
      <w:r w:rsidR="00AA407A">
        <w:rPr>
          <w:rStyle w:val="NormalCharacter"/>
          <w:rFonts w:ascii="宋体" w:eastAsia="宋体" w:hAnsi="宋体" w:cs="黑体" w:hint="eastAsia"/>
          <w:bCs/>
        </w:rPr>
        <w:t>3</w:t>
      </w:r>
      <w:r>
        <w:rPr>
          <w:rStyle w:val="NormalCharacter"/>
          <w:rFonts w:ascii="宋体" w:eastAsia="宋体" w:hAnsi="宋体" w:cs="黑体" w:hint="eastAsia"/>
          <w:bCs/>
        </w:rPr>
        <w:t>篇，国家级期刊2篇，见表8。</w:t>
      </w:r>
    </w:p>
    <w:p w:rsidR="00560F7F" w:rsidRDefault="00D4483B" w:rsidP="004E4521">
      <w:pPr>
        <w:pStyle w:val="1"/>
        <w:snapToGrid w:val="0"/>
        <w:spacing w:beforeLines="50"/>
        <w:jc w:val="center"/>
        <w:rPr>
          <w:rStyle w:val="NormalCharacter"/>
          <w:rFonts w:ascii="宋体" w:eastAsia="宋体" w:hAnsi="宋体" w:cs="黑体"/>
          <w:bCs/>
          <w:sz w:val="21"/>
          <w:szCs w:val="21"/>
        </w:rPr>
      </w:pPr>
      <w:r>
        <w:rPr>
          <w:rStyle w:val="NormalCharacter"/>
          <w:rFonts w:ascii="宋体" w:eastAsia="宋体" w:hAnsi="宋体" w:cs="方正仿宋简体" w:hint="eastAsia"/>
          <w:bCs/>
          <w:sz w:val="21"/>
          <w:szCs w:val="21"/>
        </w:rPr>
        <w:t>表8  2022年度发表的代表性论文</w:t>
      </w:r>
    </w:p>
    <w:tbl>
      <w:tblPr>
        <w:tblStyle w:val="a8"/>
        <w:tblW w:w="5000" w:type="pct"/>
        <w:tblLook w:val="04A0"/>
      </w:tblPr>
      <w:tblGrid>
        <w:gridCol w:w="817"/>
        <w:gridCol w:w="2552"/>
        <w:gridCol w:w="1362"/>
        <w:gridCol w:w="1367"/>
        <w:gridCol w:w="2424"/>
      </w:tblGrid>
      <w:tr w:rsidR="00560F7F">
        <w:tc>
          <w:tcPr>
            <w:tcW w:w="479" w:type="pct"/>
            <w:vAlign w:val="center"/>
          </w:tcPr>
          <w:p w:rsidR="00560F7F" w:rsidRDefault="00D4483B">
            <w:pPr>
              <w:widowControl/>
              <w:adjustRightInd w:val="0"/>
              <w:snapToGrid w:val="0"/>
              <w:jc w:val="center"/>
              <w:rPr>
                <w:rFonts w:ascii="宋体" w:hAnsi="宋体"/>
                <w:kern w:val="0"/>
                <w:szCs w:val="21"/>
              </w:rPr>
            </w:pPr>
            <w:bookmarkStart w:id="5" w:name="_Toc527800265"/>
            <w:bookmarkStart w:id="6" w:name="_Toc527799238"/>
            <w:r>
              <w:rPr>
                <w:rFonts w:ascii="宋体" w:hAnsi="宋体" w:hint="eastAsia"/>
                <w:kern w:val="0"/>
                <w:szCs w:val="21"/>
              </w:rPr>
              <w:t>序号</w:t>
            </w:r>
          </w:p>
        </w:tc>
        <w:tc>
          <w:tcPr>
            <w:tcW w:w="1497" w:type="pct"/>
            <w:vAlign w:val="center"/>
          </w:tcPr>
          <w:p w:rsidR="00560F7F" w:rsidRDefault="00D4483B">
            <w:pPr>
              <w:widowControl/>
              <w:adjustRightInd w:val="0"/>
              <w:snapToGrid w:val="0"/>
              <w:jc w:val="center"/>
              <w:rPr>
                <w:rFonts w:ascii="宋体" w:hAnsi="宋体"/>
                <w:kern w:val="0"/>
                <w:szCs w:val="21"/>
              </w:rPr>
            </w:pPr>
            <w:r>
              <w:rPr>
                <w:rFonts w:ascii="宋体" w:hAnsi="宋体" w:hint="eastAsia"/>
                <w:kern w:val="0"/>
                <w:szCs w:val="21"/>
              </w:rPr>
              <w:t>论文题目</w:t>
            </w:r>
          </w:p>
        </w:tc>
        <w:tc>
          <w:tcPr>
            <w:tcW w:w="799" w:type="pct"/>
            <w:vAlign w:val="center"/>
          </w:tcPr>
          <w:p w:rsidR="00560F7F" w:rsidRDefault="00D4483B">
            <w:pPr>
              <w:widowControl/>
              <w:adjustRightInd w:val="0"/>
              <w:snapToGrid w:val="0"/>
              <w:jc w:val="center"/>
              <w:rPr>
                <w:rFonts w:ascii="宋体" w:hAnsi="宋体"/>
                <w:kern w:val="0"/>
                <w:szCs w:val="21"/>
              </w:rPr>
            </w:pPr>
            <w:r>
              <w:rPr>
                <w:rFonts w:ascii="宋体" w:hAnsi="宋体" w:hint="eastAsia"/>
                <w:kern w:val="0"/>
                <w:szCs w:val="21"/>
              </w:rPr>
              <w:t>第一作者</w:t>
            </w:r>
          </w:p>
        </w:tc>
        <w:tc>
          <w:tcPr>
            <w:tcW w:w="802" w:type="pct"/>
            <w:vAlign w:val="center"/>
          </w:tcPr>
          <w:p w:rsidR="00560F7F" w:rsidRDefault="00D4483B">
            <w:pPr>
              <w:widowControl/>
              <w:adjustRightInd w:val="0"/>
              <w:snapToGrid w:val="0"/>
              <w:jc w:val="center"/>
              <w:rPr>
                <w:rFonts w:ascii="宋体" w:hAnsi="宋体"/>
                <w:kern w:val="0"/>
                <w:szCs w:val="21"/>
              </w:rPr>
            </w:pPr>
            <w:r>
              <w:rPr>
                <w:rFonts w:ascii="宋体" w:hAnsi="宋体" w:hint="eastAsia"/>
                <w:kern w:val="0"/>
                <w:szCs w:val="21"/>
              </w:rPr>
              <w:t>发表时间</w:t>
            </w:r>
          </w:p>
        </w:tc>
        <w:tc>
          <w:tcPr>
            <w:tcW w:w="1422" w:type="pct"/>
            <w:vAlign w:val="center"/>
          </w:tcPr>
          <w:p w:rsidR="00560F7F" w:rsidRDefault="00D4483B">
            <w:pPr>
              <w:widowControl/>
              <w:adjustRightInd w:val="0"/>
              <w:snapToGrid w:val="0"/>
              <w:jc w:val="center"/>
              <w:rPr>
                <w:rFonts w:ascii="宋体" w:hAnsi="宋体"/>
                <w:kern w:val="0"/>
                <w:szCs w:val="21"/>
              </w:rPr>
            </w:pPr>
            <w:r>
              <w:rPr>
                <w:rFonts w:ascii="宋体" w:hAnsi="宋体" w:hint="eastAsia"/>
                <w:kern w:val="0"/>
                <w:szCs w:val="21"/>
              </w:rPr>
              <w:t>刊物/会议名称</w:t>
            </w:r>
          </w:p>
        </w:tc>
      </w:tr>
      <w:tr w:rsidR="00560F7F">
        <w:trPr>
          <w:trHeight w:val="20"/>
        </w:trPr>
        <w:tc>
          <w:tcPr>
            <w:tcW w:w="479" w:type="pct"/>
            <w:vAlign w:val="center"/>
          </w:tcPr>
          <w:p w:rsidR="00560F7F" w:rsidRDefault="00D4483B">
            <w:pPr>
              <w:widowControl/>
              <w:adjustRightInd w:val="0"/>
              <w:snapToGrid w:val="0"/>
              <w:jc w:val="center"/>
              <w:rPr>
                <w:rFonts w:ascii="宋体" w:hAnsi="宋体"/>
                <w:kern w:val="0"/>
                <w:szCs w:val="21"/>
              </w:rPr>
            </w:pPr>
            <w:r>
              <w:rPr>
                <w:rFonts w:ascii="宋体" w:hAnsi="宋体" w:hint="eastAsia"/>
                <w:kern w:val="0"/>
                <w:szCs w:val="21"/>
              </w:rPr>
              <w:t>1</w:t>
            </w:r>
          </w:p>
        </w:tc>
        <w:tc>
          <w:tcPr>
            <w:tcW w:w="1497"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公平关切信息不对称下双渠道供应链决策与激励合同设计</w:t>
            </w:r>
          </w:p>
        </w:tc>
        <w:tc>
          <w:tcPr>
            <w:tcW w:w="799"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舒斯亮</w:t>
            </w:r>
          </w:p>
        </w:tc>
        <w:tc>
          <w:tcPr>
            <w:tcW w:w="802" w:type="pct"/>
            <w:vAlign w:val="center"/>
          </w:tcPr>
          <w:p w:rsidR="00560F7F" w:rsidRPr="00AA407A" w:rsidRDefault="00D4483B">
            <w:pPr>
              <w:adjustRightInd w:val="0"/>
              <w:snapToGrid w:val="0"/>
              <w:rPr>
                <w:rFonts w:cs="宋体"/>
                <w:color w:val="000000"/>
                <w:kern w:val="0"/>
                <w:szCs w:val="21"/>
              </w:rPr>
            </w:pPr>
            <w:r w:rsidRPr="00AA407A">
              <w:rPr>
                <w:rFonts w:hint="eastAsia"/>
                <w:color w:val="000000"/>
                <w:kern w:val="0"/>
                <w:szCs w:val="21"/>
              </w:rPr>
              <w:t>2022</w:t>
            </w:r>
            <w:r w:rsidR="001C54CC" w:rsidRPr="00AA407A">
              <w:rPr>
                <w:rFonts w:hint="eastAsia"/>
                <w:color w:val="000000"/>
                <w:kern w:val="0"/>
                <w:szCs w:val="21"/>
              </w:rPr>
              <w:t>.07</w:t>
            </w:r>
          </w:p>
        </w:tc>
        <w:tc>
          <w:tcPr>
            <w:tcW w:w="1422"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江西师范大学学报.自然科学版</w:t>
            </w:r>
            <w:r w:rsidR="001C54CC">
              <w:rPr>
                <w:rFonts w:ascii="宋体" w:hAnsi="宋体" w:hint="eastAsia"/>
                <w:color w:val="000000"/>
                <w:kern w:val="0"/>
                <w:szCs w:val="21"/>
              </w:rPr>
              <w:t>（北大核心）</w:t>
            </w:r>
          </w:p>
        </w:tc>
      </w:tr>
      <w:tr w:rsidR="001C54CC">
        <w:trPr>
          <w:trHeight w:val="20"/>
        </w:trPr>
        <w:tc>
          <w:tcPr>
            <w:tcW w:w="479" w:type="pct"/>
            <w:vAlign w:val="center"/>
          </w:tcPr>
          <w:p w:rsidR="001C54CC" w:rsidRDefault="00AA407A">
            <w:pPr>
              <w:widowControl/>
              <w:adjustRightInd w:val="0"/>
              <w:snapToGrid w:val="0"/>
              <w:jc w:val="center"/>
              <w:rPr>
                <w:rFonts w:ascii="宋体" w:hAnsi="宋体"/>
                <w:kern w:val="0"/>
                <w:szCs w:val="21"/>
              </w:rPr>
            </w:pPr>
            <w:r>
              <w:rPr>
                <w:rFonts w:ascii="宋体" w:hAnsi="宋体" w:hint="eastAsia"/>
                <w:kern w:val="0"/>
                <w:szCs w:val="21"/>
              </w:rPr>
              <w:t>2</w:t>
            </w:r>
          </w:p>
        </w:tc>
        <w:tc>
          <w:tcPr>
            <w:tcW w:w="1497" w:type="pct"/>
            <w:vAlign w:val="center"/>
          </w:tcPr>
          <w:p w:rsidR="001C54CC" w:rsidRDefault="001C54CC">
            <w:pPr>
              <w:adjustRightInd w:val="0"/>
              <w:snapToGrid w:val="0"/>
              <w:rPr>
                <w:rFonts w:ascii="宋体" w:hAnsi="宋体"/>
                <w:color w:val="000000"/>
                <w:kern w:val="0"/>
                <w:szCs w:val="21"/>
              </w:rPr>
            </w:pPr>
            <w:r>
              <w:rPr>
                <w:rFonts w:ascii="宋体" w:hAnsi="宋体" w:cs="宋体"/>
                <w:kern w:val="0"/>
                <w:szCs w:val="21"/>
              </w:rPr>
              <w:t>需求扰动下物流服务商参与的不同权力结构产品供应链应急决策</w:t>
            </w:r>
          </w:p>
        </w:tc>
        <w:tc>
          <w:tcPr>
            <w:tcW w:w="799" w:type="pct"/>
            <w:vAlign w:val="center"/>
          </w:tcPr>
          <w:p w:rsidR="001C54CC" w:rsidRDefault="00AA407A">
            <w:pPr>
              <w:adjustRightInd w:val="0"/>
              <w:snapToGrid w:val="0"/>
              <w:rPr>
                <w:rFonts w:ascii="宋体" w:hAnsi="宋体"/>
                <w:color w:val="000000"/>
                <w:kern w:val="0"/>
                <w:szCs w:val="21"/>
              </w:rPr>
            </w:pPr>
            <w:r>
              <w:rPr>
                <w:rFonts w:ascii="宋体" w:hAnsi="宋体" w:hint="eastAsia"/>
                <w:color w:val="000000"/>
                <w:kern w:val="0"/>
                <w:szCs w:val="21"/>
              </w:rPr>
              <w:t>舒斯亮</w:t>
            </w:r>
          </w:p>
        </w:tc>
        <w:tc>
          <w:tcPr>
            <w:tcW w:w="802" w:type="pct"/>
            <w:vAlign w:val="center"/>
          </w:tcPr>
          <w:p w:rsidR="001C54CC" w:rsidRPr="00AA407A" w:rsidRDefault="00AA407A">
            <w:pPr>
              <w:adjustRightInd w:val="0"/>
              <w:snapToGrid w:val="0"/>
              <w:rPr>
                <w:color w:val="000000"/>
                <w:kern w:val="0"/>
                <w:szCs w:val="21"/>
              </w:rPr>
            </w:pPr>
            <w:r w:rsidRPr="00AA407A">
              <w:rPr>
                <w:rFonts w:cs="宋体" w:hint="eastAsia"/>
                <w:kern w:val="0"/>
                <w:szCs w:val="21"/>
              </w:rPr>
              <w:t>2022.03</w:t>
            </w:r>
          </w:p>
        </w:tc>
        <w:tc>
          <w:tcPr>
            <w:tcW w:w="1422" w:type="pct"/>
            <w:vAlign w:val="center"/>
          </w:tcPr>
          <w:p w:rsidR="001C54CC" w:rsidRDefault="001C54CC">
            <w:pPr>
              <w:adjustRightInd w:val="0"/>
              <w:snapToGrid w:val="0"/>
              <w:rPr>
                <w:rFonts w:ascii="宋体" w:hAnsi="宋体"/>
                <w:color w:val="000000"/>
                <w:kern w:val="0"/>
                <w:szCs w:val="21"/>
              </w:rPr>
            </w:pPr>
            <w:r>
              <w:rPr>
                <w:rFonts w:ascii="宋体" w:hAnsi="宋体" w:hint="eastAsia"/>
                <w:color w:val="000000"/>
                <w:kern w:val="0"/>
                <w:szCs w:val="21"/>
              </w:rPr>
              <w:t>系统工程（北大核心）</w:t>
            </w:r>
          </w:p>
        </w:tc>
      </w:tr>
      <w:tr w:rsidR="001C54CC">
        <w:trPr>
          <w:trHeight w:val="20"/>
        </w:trPr>
        <w:tc>
          <w:tcPr>
            <w:tcW w:w="479" w:type="pct"/>
            <w:vAlign w:val="center"/>
          </w:tcPr>
          <w:p w:rsidR="001C54CC" w:rsidRDefault="00AA407A">
            <w:pPr>
              <w:widowControl/>
              <w:adjustRightInd w:val="0"/>
              <w:snapToGrid w:val="0"/>
              <w:jc w:val="center"/>
              <w:rPr>
                <w:rFonts w:ascii="宋体" w:hAnsi="宋体"/>
                <w:kern w:val="0"/>
                <w:szCs w:val="21"/>
              </w:rPr>
            </w:pPr>
            <w:r>
              <w:rPr>
                <w:rFonts w:ascii="宋体" w:hAnsi="宋体" w:hint="eastAsia"/>
                <w:kern w:val="0"/>
                <w:szCs w:val="21"/>
              </w:rPr>
              <w:t>3</w:t>
            </w:r>
          </w:p>
        </w:tc>
        <w:tc>
          <w:tcPr>
            <w:tcW w:w="1497" w:type="pct"/>
            <w:vAlign w:val="center"/>
          </w:tcPr>
          <w:p w:rsidR="001C54CC" w:rsidRDefault="001C54CC">
            <w:pPr>
              <w:adjustRightInd w:val="0"/>
              <w:snapToGrid w:val="0"/>
              <w:rPr>
                <w:rFonts w:ascii="宋体" w:hAnsi="宋体"/>
                <w:color w:val="000000"/>
                <w:kern w:val="0"/>
                <w:szCs w:val="21"/>
              </w:rPr>
            </w:pPr>
            <w:r>
              <w:rPr>
                <w:rFonts w:ascii="宋体" w:hAnsi="宋体" w:cs="宋体"/>
                <w:kern w:val="0"/>
                <w:szCs w:val="21"/>
              </w:rPr>
              <w:t>不同权力结构下供应链概率销售策略比较研究</w:t>
            </w:r>
          </w:p>
        </w:tc>
        <w:tc>
          <w:tcPr>
            <w:tcW w:w="799" w:type="pct"/>
            <w:vAlign w:val="center"/>
          </w:tcPr>
          <w:p w:rsidR="001C54CC" w:rsidRDefault="00AA407A">
            <w:pPr>
              <w:adjustRightInd w:val="0"/>
              <w:snapToGrid w:val="0"/>
              <w:rPr>
                <w:rFonts w:ascii="宋体" w:hAnsi="宋体"/>
                <w:color w:val="000000"/>
                <w:kern w:val="0"/>
                <w:szCs w:val="21"/>
              </w:rPr>
            </w:pPr>
            <w:r>
              <w:rPr>
                <w:rFonts w:ascii="宋体" w:hAnsi="宋体" w:hint="eastAsia"/>
                <w:color w:val="000000"/>
                <w:kern w:val="0"/>
                <w:szCs w:val="21"/>
              </w:rPr>
              <w:t>舒斯亮</w:t>
            </w:r>
          </w:p>
        </w:tc>
        <w:tc>
          <w:tcPr>
            <w:tcW w:w="802" w:type="pct"/>
            <w:vAlign w:val="center"/>
          </w:tcPr>
          <w:p w:rsidR="001C54CC" w:rsidRPr="00AA407A" w:rsidRDefault="00AA407A">
            <w:pPr>
              <w:adjustRightInd w:val="0"/>
              <w:snapToGrid w:val="0"/>
              <w:rPr>
                <w:color w:val="000000"/>
                <w:kern w:val="0"/>
                <w:szCs w:val="21"/>
              </w:rPr>
            </w:pPr>
            <w:r w:rsidRPr="00AA407A">
              <w:rPr>
                <w:rFonts w:cs="宋体" w:hint="eastAsia"/>
                <w:kern w:val="0"/>
                <w:szCs w:val="21"/>
              </w:rPr>
              <w:t>2022.09</w:t>
            </w:r>
          </w:p>
        </w:tc>
        <w:tc>
          <w:tcPr>
            <w:tcW w:w="1422" w:type="pct"/>
            <w:vAlign w:val="center"/>
          </w:tcPr>
          <w:p w:rsidR="001C54CC" w:rsidRDefault="001C54CC">
            <w:pPr>
              <w:adjustRightInd w:val="0"/>
              <w:snapToGrid w:val="0"/>
              <w:rPr>
                <w:rFonts w:ascii="宋体" w:hAnsi="宋体"/>
                <w:color w:val="000000"/>
                <w:kern w:val="0"/>
                <w:szCs w:val="21"/>
              </w:rPr>
            </w:pPr>
            <w:r>
              <w:rPr>
                <w:rFonts w:ascii="宋体" w:hAnsi="宋体" w:hint="eastAsia"/>
                <w:color w:val="000000"/>
                <w:kern w:val="0"/>
                <w:szCs w:val="21"/>
              </w:rPr>
              <w:t>中国管理科学（CSSCI）</w:t>
            </w:r>
          </w:p>
        </w:tc>
      </w:tr>
      <w:tr w:rsidR="00560F7F">
        <w:trPr>
          <w:trHeight w:val="20"/>
        </w:trPr>
        <w:tc>
          <w:tcPr>
            <w:tcW w:w="479" w:type="pct"/>
            <w:vAlign w:val="center"/>
          </w:tcPr>
          <w:p w:rsidR="00560F7F" w:rsidRDefault="00870972">
            <w:pPr>
              <w:widowControl/>
              <w:adjustRightInd w:val="0"/>
              <w:snapToGrid w:val="0"/>
              <w:jc w:val="center"/>
              <w:rPr>
                <w:rFonts w:ascii="宋体" w:hAnsi="宋体"/>
                <w:kern w:val="0"/>
                <w:szCs w:val="21"/>
              </w:rPr>
            </w:pPr>
            <w:r>
              <w:rPr>
                <w:rFonts w:ascii="宋体" w:hAnsi="宋体" w:hint="eastAsia"/>
                <w:kern w:val="0"/>
                <w:szCs w:val="21"/>
              </w:rPr>
              <w:t>4</w:t>
            </w:r>
          </w:p>
        </w:tc>
        <w:tc>
          <w:tcPr>
            <w:tcW w:w="1497"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中国对外援助评价研究——基于一项调查问卷</w:t>
            </w:r>
          </w:p>
        </w:tc>
        <w:tc>
          <w:tcPr>
            <w:tcW w:w="799"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熊青龙</w:t>
            </w:r>
          </w:p>
        </w:tc>
        <w:tc>
          <w:tcPr>
            <w:tcW w:w="802" w:type="pct"/>
            <w:vAlign w:val="center"/>
          </w:tcPr>
          <w:p w:rsidR="00560F7F" w:rsidRPr="00AA407A" w:rsidRDefault="00AA407A">
            <w:pPr>
              <w:adjustRightInd w:val="0"/>
              <w:snapToGrid w:val="0"/>
              <w:rPr>
                <w:rFonts w:cs="宋体"/>
                <w:color w:val="000000"/>
                <w:kern w:val="0"/>
                <w:szCs w:val="21"/>
              </w:rPr>
            </w:pPr>
            <w:r w:rsidRPr="00AA407A">
              <w:rPr>
                <w:rFonts w:hint="eastAsia"/>
                <w:color w:val="000000"/>
                <w:kern w:val="0"/>
                <w:szCs w:val="21"/>
              </w:rPr>
              <w:t>2022</w:t>
            </w:r>
            <w:r>
              <w:rPr>
                <w:rFonts w:hAnsi="宋体" w:hint="eastAsia"/>
                <w:color w:val="000000"/>
                <w:kern w:val="0"/>
                <w:szCs w:val="21"/>
              </w:rPr>
              <w:t>.</w:t>
            </w:r>
            <w:r w:rsidR="00D4483B" w:rsidRPr="00AA407A">
              <w:rPr>
                <w:rFonts w:hint="eastAsia"/>
                <w:color w:val="000000"/>
                <w:kern w:val="0"/>
                <w:szCs w:val="21"/>
              </w:rPr>
              <w:t>05</w:t>
            </w:r>
          </w:p>
        </w:tc>
        <w:tc>
          <w:tcPr>
            <w:tcW w:w="1422"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国际经济合作</w:t>
            </w:r>
            <w:r w:rsidR="00AA407A">
              <w:rPr>
                <w:rFonts w:ascii="宋体" w:hAnsi="宋体" w:hint="eastAsia"/>
                <w:color w:val="000000"/>
                <w:kern w:val="0"/>
                <w:szCs w:val="21"/>
              </w:rPr>
              <w:t>（北大核心）</w:t>
            </w:r>
          </w:p>
        </w:tc>
      </w:tr>
      <w:tr w:rsidR="00560F7F">
        <w:trPr>
          <w:trHeight w:val="20"/>
        </w:trPr>
        <w:tc>
          <w:tcPr>
            <w:tcW w:w="479" w:type="pct"/>
            <w:vAlign w:val="center"/>
          </w:tcPr>
          <w:p w:rsidR="00560F7F" w:rsidRDefault="00870972">
            <w:pPr>
              <w:widowControl/>
              <w:adjustRightInd w:val="0"/>
              <w:snapToGrid w:val="0"/>
              <w:jc w:val="center"/>
              <w:rPr>
                <w:rFonts w:ascii="宋体" w:hAnsi="宋体"/>
                <w:kern w:val="0"/>
                <w:szCs w:val="21"/>
              </w:rPr>
            </w:pPr>
            <w:r>
              <w:rPr>
                <w:rFonts w:ascii="宋体" w:hAnsi="宋体" w:hint="eastAsia"/>
                <w:kern w:val="0"/>
                <w:szCs w:val="21"/>
              </w:rPr>
              <w:t>5</w:t>
            </w:r>
          </w:p>
        </w:tc>
        <w:tc>
          <w:tcPr>
            <w:tcW w:w="1497"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国内网民对我国对外援助看法的实证研究</w:t>
            </w:r>
          </w:p>
        </w:tc>
        <w:tc>
          <w:tcPr>
            <w:tcW w:w="799"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熊青龙</w:t>
            </w:r>
          </w:p>
        </w:tc>
        <w:tc>
          <w:tcPr>
            <w:tcW w:w="802" w:type="pct"/>
            <w:vAlign w:val="center"/>
          </w:tcPr>
          <w:p w:rsidR="00560F7F" w:rsidRPr="00AA407A" w:rsidRDefault="00D4483B">
            <w:pPr>
              <w:adjustRightInd w:val="0"/>
              <w:snapToGrid w:val="0"/>
              <w:rPr>
                <w:rFonts w:cs="宋体"/>
                <w:color w:val="000000"/>
                <w:kern w:val="0"/>
                <w:szCs w:val="21"/>
              </w:rPr>
            </w:pPr>
            <w:r w:rsidRPr="00AA407A">
              <w:rPr>
                <w:rFonts w:hint="eastAsia"/>
                <w:color w:val="000000"/>
                <w:kern w:val="0"/>
                <w:szCs w:val="21"/>
              </w:rPr>
              <w:t>2</w:t>
            </w:r>
            <w:r w:rsidR="00AA407A" w:rsidRPr="00AA407A">
              <w:rPr>
                <w:rFonts w:hint="eastAsia"/>
                <w:color w:val="000000"/>
                <w:kern w:val="0"/>
                <w:szCs w:val="21"/>
              </w:rPr>
              <w:t>022</w:t>
            </w:r>
            <w:r w:rsidR="00AA407A">
              <w:rPr>
                <w:rFonts w:hAnsi="宋体" w:hint="eastAsia"/>
                <w:color w:val="000000"/>
                <w:kern w:val="0"/>
                <w:szCs w:val="21"/>
              </w:rPr>
              <w:t>.</w:t>
            </w:r>
            <w:r w:rsidRPr="00AA407A">
              <w:rPr>
                <w:rFonts w:hint="eastAsia"/>
                <w:color w:val="000000"/>
                <w:kern w:val="0"/>
                <w:szCs w:val="21"/>
              </w:rPr>
              <w:t>02</w:t>
            </w:r>
          </w:p>
        </w:tc>
        <w:tc>
          <w:tcPr>
            <w:tcW w:w="1422"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江西科技师范大学学报</w:t>
            </w:r>
          </w:p>
        </w:tc>
      </w:tr>
      <w:tr w:rsidR="00560F7F">
        <w:trPr>
          <w:trHeight w:val="20"/>
        </w:trPr>
        <w:tc>
          <w:tcPr>
            <w:tcW w:w="479" w:type="pct"/>
            <w:vAlign w:val="center"/>
          </w:tcPr>
          <w:p w:rsidR="00560F7F" w:rsidRDefault="00870972">
            <w:pPr>
              <w:widowControl/>
              <w:adjustRightInd w:val="0"/>
              <w:snapToGrid w:val="0"/>
              <w:jc w:val="center"/>
              <w:rPr>
                <w:rFonts w:ascii="宋体" w:hAnsi="宋体"/>
                <w:kern w:val="0"/>
                <w:szCs w:val="21"/>
              </w:rPr>
            </w:pPr>
            <w:r>
              <w:rPr>
                <w:rFonts w:ascii="宋体" w:hAnsi="宋体" w:hint="eastAsia"/>
                <w:kern w:val="0"/>
                <w:szCs w:val="21"/>
              </w:rPr>
              <w:t>6</w:t>
            </w:r>
          </w:p>
        </w:tc>
        <w:tc>
          <w:tcPr>
            <w:tcW w:w="1497" w:type="pct"/>
            <w:vAlign w:val="center"/>
          </w:tcPr>
          <w:p w:rsidR="00560F7F" w:rsidRDefault="00AA407A">
            <w:pPr>
              <w:adjustRightInd w:val="0"/>
              <w:snapToGrid w:val="0"/>
              <w:rPr>
                <w:rFonts w:ascii="宋体" w:hAnsi="宋体" w:cs="宋体"/>
                <w:color w:val="000000"/>
                <w:kern w:val="0"/>
                <w:szCs w:val="21"/>
              </w:rPr>
            </w:pPr>
            <w:r>
              <w:rPr>
                <w:rFonts w:ascii="宋体" w:hAnsi="宋体" w:cs="宋体" w:hint="eastAsia"/>
                <w:szCs w:val="21"/>
              </w:rPr>
              <w:t>乡村振兴与现代农业经济发展的体系建构</w:t>
            </w:r>
          </w:p>
        </w:tc>
        <w:tc>
          <w:tcPr>
            <w:tcW w:w="799" w:type="pct"/>
            <w:vAlign w:val="center"/>
          </w:tcPr>
          <w:p w:rsidR="00560F7F" w:rsidRDefault="00AA407A">
            <w:pPr>
              <w:adjustRightInd w:val="0"/>
              <w:snapToGrid w:val="0"/>
              <w:rPr>
                <w:rFonts w:ascii="宋体" w:hAnsi="宋体" w:cs="宋体"/>
                <w:color w:val="000000"/>
                <w:kern w:val="0"/>
                <w:szCs w:val="21"/>
              </w:rPr>
            </w:pPr>
            <w:r>
              <w:rPr>
                <w:rFonts w:ascii="宋体" w:hAnsi="宋体" w:hint="eastAsia"/>
                <w:color w:val="000000"/>
                <w:kern w:val="0"/>
                <w:szCs w:val="21"/>
              </w:rPr>
              <w:t>马伟伟</w:t>
            </w:r>
          </w:p>
        </w:tc>
        <w:tc>
          <w:tcPr>
            <w:tcW w:w="802" w:type="pct"/>
            <w:vAlign w:val="center"/>
          </w:tcPr>
          <w:p w:rsidR="00560F7F" w:rsidRPr="00AA407A" w:rsidRDefault="00D4483B">
            <w:pPr>
              <w:adjustRightInd w:val="0"/>
              <w:snapToGrid w:val="0"/>
              <w:rPr>
                <w:rFonts w:cs="宋体"/>
                <w:color w:val="000000"/>
                <w:kern w:val="0"/>
                <w:szCs w:val="21"/>
              </w:rPr>
            </w:pPr>
            <w:r w:rsidRPr="00AA407A">
              <w:rPr>
                <w:rFonts w:hint="eastAsia"/>
                <w:color w:val="000000"/>
                <w:kern w:val="0"/>
                <w:szCs w:val="21"/>
              </w:rPr>
              <w:t>2022</w:t>
            </w:r>
            <w:r w:rsidR="00AA407A" w:rsidRPr="00AA407A">
              <w:rPr>
                <w:rFonts w:hint="eastAsia"/>
                <w:color w:val="000000"/>
                <w:kern w:val="0"/>
                <w:szCs w:val="21"/>
              </w:rPr>
              <w:t>.03</w:t>
            </w:r>
          </w:p>
        </w:tc>
        <w:tc>
          <w:tcPr>
            <w:tcW w:w="1422" w:type="pct"/>
            <w:vAlign w:val="center"/>
          </w:tcPr>
          <w:p w:rsidR="00560F7F" w:rsidRDefault="00D4483B">
            <w:pPr>
              <w:adjustRightInd w:val="0"/>
              <w:snapToGrid w:val="0"/>
              <w:rPr>
                <w:rFonts w:ascii="宋体" w:hAnsi="宋体" w:cs="宋体"/>
                <w:color w:val="000000"/>
                <w:kern w:val="0"/>
                <w:szCs w:val="21"/>
              </w:rPr>
            </w:pPr>
            <w:r>
              <w:rPr>
                <w:rFonts w:ascii="宋体" w:hAnsi="宋体" w:hint="eastAsia"/>
                <w:color w:val="000000"/>
                <w:kern w:val="0"/>
                <w:szCs w:val="21"/>
              </w:rPr>
              <w:t>《中文科技期刊数据库（引文版）教育科学》</w:t>
            </w:r>
          </w:p>
        </w:tc>
      </w:tr>
      <w:tr w:rsidR="00AA407A">
        <w:trPr>
          <w:trHeight w:val="20"/>
        </w:trPr>
        <w:tc>
          <w:tcPr>
            <w:tcW w:w="479" w:type="pct"/>
            <w:vAlign w:val="center"/>
          </w:tcPr>
          <w:p w:rsidR="00AA407A" w:rsidRDefault="00870972">
            <w:pPr>
              <w:widowControl/>
              <w:adjustRightInd w:val="0"/>
              <w:snapToGrid w:val="0"/>
              <w:jc w:val="center"/>
              <w:rPr>
                <w:rFonts w:ascii="宋体" w:hAnsi="宋体"/>
                <w:kern w:val="0"/>
                <w:szCs w:val="21"/>
              </w:rPr>
            </w:pPr>
            <w:r>
              <w:rPr>
                <w:rFonts w:ascii="宋体" w:hAnsi="宋体" w:hint="eastAsia"/>
                <w:kern w:val="0"/>
                <w:szCs w:val="21"/>
              </w:rPr>
              <w:t>7</w:t>
            </w:r>
          </w:p>
        </w:tc>
        <w:tc>
          <w:tcPr>
            <w:tcW w:w="1497" w:type="pct"/>
            <w:vAlign w:val="center"/>
          </w:tcPr>
          <w:p w:rsidR="00AA407A" w:rsidRDefault="00AA407A">
            <w:pPr>
              <w:adjustRightInd w:val="0"/>
              <w:snapToGrid w:val="0"/>
              <w:rPr>
                <w:rFonts w:ascii="宋体" w:hAnsi="宋体" w:cs="宋体"/>
                <w:szCs w:val="21"/>
              </w:rPr>
            </w:pPr>
            <w:r>
              <w:rPr>
                <w:rFonts w:ascii="宋体" w:hAnsi="宋体" w:cs="宋体" w:hint="eastAsia"/>
                <w:kern w:val="0"/>
                <w:szCs w:val="21"/>
              </w:rPr>
              <w:t>师范院校学术竞争力时空演变、驱动因素及优化路径研究——水平与效率的视角</w:t>
            </w:r>
          </w:p>
        </w:tc>
        <w:tc>
          <w:tcPr>
            <w:tcW w:w="799" w:type="pct"/>
            <w:vAlign w:val="center"/>
          </w:tcPr>
          <w:p w:rsidR="00AA407A" w:rsidRDefault="00AA407A">
            <w:pPr>
              <w:adjustRightInd w:val="0"/>
              <w:snapToGrid w:val="0"/>
              <w:rPr>
                <w:rFonts w:ascii="宋体" w:hAnsi="宋体"/>
                <w:color w:val="000000"/>
                <w:kern w:val="0"/>
                <w:szCs w:val="21"/>
              </w:rPr>
            </w:pPr>
            <w:r>
              <w:rPr>
                <w:rFonts w:ascii="宋体" w:hAnsi="宋体" w:hint="eastAsia"/>
                <w:color w:val="000000"/>
                <w:kern w:val="0"/>
                <w:szCs w:val="21"/>
              </w:rPr>
              <w:t>杨春季</w:t>
            </w:r>
          </w:p>
        </w:tc>
        <w:tc>
          <w:tcPr>
            <w:tcW w:w="802" w:type="pct"/>
            <w:vAlign w:val="center"/>
          </w:tcPr>
          <w:p w:rsidR="00AA407A" w:rsidRPr="00AA407A" w:rsidRDefault="00AA407A">
            <w:pPr>
              <w:adjustRightInd w:val="0"/>
              <w:snapToGrid w:val="0"/>
              <w:rPr>
                <w:color w:val="000000"/>
                <w:kern w:val="0"/>
                <w:szCs w:val="21"/>
              </w:rPr>
            </w:pPr>
            <w:r w:rsidRPr="00AA407A">
              <w:rPr>
                <w:rFonts w:hint="eastAsia"/>
                <w:color w:val="000000"/>
                <w:kern w:val="0"/>
                <w:szCs w:val="21"/>
              </w:rPr>
              <w:t>2022.10</w:t>
            </w:r>
          </w:p>
        </w:tc>
        <w:tc>
          <w:tcPr>
            <w:tcW w:w="1422" w:type="pct"/>
            <w:vAlign w:val="center"/>
          </w:tcPr>
          <w:p w:rsidR="00AA407A" w:rsidRDefault="00AA407A">
            <w:pPr>
              <w:adjustRightInd w:val="0"/>
              <w:snapToGrid w:val="0"/>
              <w:rPr>
                <w:rFonts w:ascii="宋体" w:hAnsi="宋体"/>
                <w:color w:val="000000"/>
                <w:kern w:val="0"/>
                <w:szCs w:val="21"/>
              </w:rPr>
            </w:pPr>
            <w:r>
              <w:rPr>
                <w:rFonts w:ascii="宋体" w:hAnsi="宋体" w:hint="eastAsia"/>
                <w:color w:val="000000"/>
                <w:kern w:val="0"/>
                <w:szCs w:val="21"/>
              </w:rPr>
              <w:t>专著 江西人民大学出版社</w:t>
            </w:r>
          </w:p>
        </w:tc>
      </w:tr>
    </w:tbl>
    <w:bookmarkEnd w:id="5"/>
    <w:bookmarkEnd w:id="6"/>
    <w:p w:rsidR="00560F7F" w:rsidRDefault="00D4483B">
      <w:pPr>
        <w:spacing w:line="400" w:lineRule="exact"/>
        <w:ind w:firstLineChars="200" w:firstLine="480"/>
        <w:rPr>
          <w:rStyle w:val="NormalCharacter"/>
          <w:rFonts w:ascii="宋体" w:eastAsia="宋体" w:hAnsi="宋体" w:cs="黑体"/>
          <w:bCs/>
          <w:szCs w:val="24"/>
        </w:rPr>
      </w:pPr>
      <w:r>
        <w:rPr>
          <w:rStyle w:val="NormalCharacter"/>
          <w:rFonts w:ascii="宋体" w:eastAsia="宋体" w:hAnsi="宋体" w:cs="黑体" w:hint="eastAsia"/>
          <w:bCs/>
          <w:szCs w:val="24"/>
        </w:rPr>
        <w:t>本学位点搭建了多个校外实习基地，比如江西美翻科技有限公司、江西亮朵电子商务有限公司、深圳市电子商务服务中心、江西万马谷科技信息有限公司，学生在实习基地将所学知识用于实际工作中，同时为学位论文的撰写提供了实践支撑。</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4.4 传承创新优秀文化</w:t>
      </w:r>
    </w:p>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t>4.4.1传承“赣鄱学子心向党”红色文化</w:t>
      </w:r>
    </w:p>
    <w:p w:rsidR="00560F7F" w:rsidRDefault="00D4483B">
      <w:pPr>
        <w:pStyle w:val="a7"/>
        <w:widowControl/>
        <w:spacing w:beforeAutospacing="0" w:afterAutospacing="0" w:line="400" w:lineRule="exact"/>
        <w:ind w:firstLineChars="200" w:firstLine="480"/>
        <w:jc w:val="both"/>
        <w:rPr>
          <w:rStyle w:val="NormalCharacter"/>
          <w:rFonts w:ascii="宋体" w:eastAsia="宋体" w:hAnsi="宋体" w:cs="黑体"/>
          <w:bCs/>
        </w:rPr>
      </w:pPr>
      <w:r>
        <w:rPr>
          <w:rStyle w:val="NormalCharacter"/>
          <w:rFonts w:ascii="宋体" w:eastAsia="宋体" w:hAnsi="宋体" w:cs="黑体" w:hint="eastAsia"/>
          <w:bCs/>
        </w:rPr>
        <w:t>为进一步深化新时代爱国主义教育、培育和践行社会主义核心价值观，引导研究生坚定理想信念、树立远大志向、厚植爱国主义情怀，自202</w:t>
      </w:r>
      <w:r>
        <w:rPr>
          <w:rStyle w:val="NormalCharacter"/>
          <w:rFonts w:ascii="宋体" w:eastAsia="宋体" w:hAnsi="宋体" w:cs="黑体"/>
          <w:bCs/>
        </w:rPr>
        <w:t>2</w:t>
      </w:r>
      <w:r>
        <w:rPr>
          <w:rStyle w:val="NormalCharacter"/>
          <w:rFonts w:ascii="宋体" w:eastAsia="宋体" w:hAnsi="宋体" w:cs="黑体" w:hint="eastAsia"/>
          <w:bCs/>
        </w:rPr>
        <w:t>年以来，本学位点大力开展“赣鄱学子心向党”红色文化系列活动，通过“云游”红色景点、“跨越时空的对话”作品展播、创建红色寝室、红色故事比赛等红色文化活动，教育引导青年学生传承红色基因、赓续红色血脉，自觉争当红色基因的传承者、实践者。</w:t>
      </w:r>
    </w:p>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t>4.4.2推进马克思主义政治经济学教学及研究成果的国际传播</w:t>
      </w:r>
    </w:p>
    <w:p w:rsidR="00560F7F" w:rsidRDefault="00D4483B">
      <w:pPr>
        <w:widowControl/>
        <w:snapToGrid w:val="0"/>
        <w:spacing w:line="400" w:lineRule="exact"/>
        <w:ind w:firstLineChars="200" w:firstLine="480"/>
        <w:textAlignment w:val="baseline"/>
        <w:rPr>
          <w:rStyle w:val="NormalCharacter"/>
          <w:rFonts w:ascii="宋体" w:eastAsia="宋体" w:hAnsi="宋体" w:cs="黑体"/>
          <w:bCs/>
          <w:szCs w:val="24"/>
        </w:rPr>
      </w:pPr>
      <w:r>
        <w:rPr>
          <w:rStyle w:val="NormalCharacter"/>
          <w:rFonts w:ascii="宋体" w:eastAsia="宋体" w:hAnsi="宋体" w:cs="黑体" w:hint="eastAsia"/>
          <w:bCs/>
          <w:szCs w:val="24"/>
        </w:rPr>
        <w:t>将党建铸魂、立德树人、为社会主义事业培养优秀的建设者和接班人作为职责，积极推进马克思主义政治经济学教学及研究成果的国际传播等工作，同时开展实地走访调研，发挥优秀传统文化育人功能，用传统优秀文化教育新时代的大国公民。</w:t>
      </w:r>
    </w:p>
    <w:p w:rsidR="00560F7F" w:rsidRDefault="00D4483B" w:rsidP="004E4521">
      <w:pPr>
        <w:widowControl/>
        <w:spacing w:beforeLines="50" w:line="400" w:lineRule="exact"/>
        <w:textAlignment w:val="baseline"/>
        <w:rPr>
          <w:rStyle w:val="NormalCharacter"/>
          <w:rFonts w:ascii="黑体" w:eastAsia="黑体" w:hAnsi="黑体" w:cs="仿宋_GB2312"/>
          <w:sz w:val="26"/>
          <w:szCs w:val="26"/>
        </w:rPr>
      </w:pPr>
      <w:r>
        <w:rPr>
          <w:rStyle w:val="NormalCharacter"/>
          <w:rFonts w:ascii="黑体" w:eastAsia="黑体" w:hAnsi="黑体" w:cs="仿宋_GB2312" w:hint="eastAsia"/>
          <w:sz w:val="26"/>
          <w:szCs w:val="26"/>
        </w:rPr>
        <w:lastRenderedPageBreak/>
        <w:t>4.4.3 “以赛育人”，组织国际商务专业学生参加高水平赛事</w:t>
      </w:r>
    </w:p>
    <w:p w:rsidR="00560F7F" w:rsidRDefault="00D4483B">
      <w:pPr>
        <w:widowControl/>
        <w:snapToGrid w:val="0"/>
        <w:spacing w:line="400" w:lineRule="exact"/>
        <w:ind w:firstLineChars="196" w:firstLine="470"/>
        <w:textAlignment w:val="baseline"/>
        <w:rPr>
          <w:rStyle w:val="NormalCharacter"/>
          <w:rFonts w:ascii="宋体" w:eastAsia="宋体" w:hAnsi="宋体" w:cs="黑体"/>
          <w:bCs/>
          <w:szCs w:val="24"/>
        </w:rPr>
      </w:pPr>
      <w:r>
        <w:rPr>
          <w:rStyle w:val="NormalCharacter"/>
          <w:rFonts w:ascii="宋体" w:eastAsia="宋体" w:hAnsi="宋体" w:cs="黑体" w:hint="eastAsia"/>
          <w:bCs/>
          <w:szCs w:val="24"/>
        </w:rPr>
        <w:t>通过鼓励、组织学生参加“创新创业精英挑战赛”的等赛事，丰富和拓展创新创业人才的教学实践活动，推动国际商务领域创新创业人才的培养，为在校学生提供锻炼自我和展示自我的平台，为企业提供国际商务精英人才后备力量，搭建参赛者与企业之间沟通的桥梁，提高国际商务专业硕士的社会认可度。</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r>
        <w:rPr>
          <w:rStyle w:val="NormalCharacter"/>
          <w:rFonts w:ascii="黑体" w:eastAsia="黑体" w:hAnsi="黑体" w:cs="仿宋_GB2312" w:hint="eastAsia"/>
          <w:sz w:val="28"/>
          <w:szCs w:val="28"/>
        </w:rPr>
        <w:t>4.5国际合作交流</w:t>
      </w:r>
    </w:p>
    <w:p w:rsidR="00560F7F" w:rsidRDefault="00D4483B">
      <w:pPr>
        <w:widowControl/>
        <w:snapToGrid w:val="0"/>
        <w:spacing w:line="400" w:lineRule="exact"/>
        <w:ind w:firstLineChars="200" w:firstLine="480"/>
        <w:textAlignment w:val="baseline"/>
        <w:rPr>
          <w:rStyle w:val="NormalCharacter"/>
          <w:rFonts w:ascii="宋体" w:eastAsia="宋体" w:hAnsi="宋体" w:cs="黑体"/>
          <w:bCs/>
          <w:szCs w:val="24"/>
        </w:rPr>
      </w:pPr>
      <w:r>
        <w:rPr>
          <w:rStyle w:val="NormalCharacter"/>
          <w:rFonts w:ascii="宋体" w:eastAsia="宋体" w:hAnsi="宋体" w:cs="黑体" w:hint="eastAsia"/>
          <w:bCs/>
          <w:szCs w:val="24"/>
        </w:rPr>
        <w:t>本学位点坚持“请进来、走出去”战略，目前，本学位点已经和英国卡迪夫城市大学、美国加州硅谷大学签署合作协议，同时和长期合作学校芬兰海门大学在本科合作基础上洽谈合作培养工商管理硕士研究生，2</w:t>
      </w:r>
      <w:r>
        <w:rPr>
          <w:rStyle w:val="NormalCharacter"/>
          <w:rFonts w:ascii="宋体" w:eastAsia="宋体" w:hAnsi="宋体" w:cs="黑体"/>
          <w:bCs/>
          <w:szCs w:val="24"/>
        </w:rPr>
        <w:t>022</w:t>
      </w:r>
      <w:r>
        <w:rPr>
          <w:rStyle w:val="NormalCharacter"/>
          <w:rFonts w:ascii="宋体" w:eastAsia="宋体" w:hAnsi="宋体" w:cs="黑体" w:hint="eastAsia"/>
          <w:bCs/>
          <w:szCs w:val="24"/>
        </w:rPr>
        <w:t>年1</w:t>
      </w:r>
      <w:r>
        <w:rPr>
          <w:rStyle w:val="NormalCharacter"/>
          <w:rFonts w:ascii="宋体" w:eastAsia="宋体" w:hAnsi="宋体" w:cs="黑体"/>
          <w:bCs/>
          <w:szCs w:val="24"/>
        </w:rPr>
        <w:t>0</w:t>
      </w:r>
      <w:r>
        <w:rPr>
          <w:rStyle w:val="NormalCharacter"/>
          <w:rFonts w:ascii="宋体" w:eastAsia="宋体" w:hAnsi="宋体" w:cs="黑体" w:hint="eastAsia"/>
          <w:bCs/>
          <w:szCs w:val="24"/>
        </w:rPr>
        <w:t>月，与英国哈德斯菲尔德大学签订框架合作协议。</w:t>
      </w:r>
    </w:p>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t>5 教育质量评估与分析</w:t>
      </w:r>
    </w:p>
    <w:p w:rsidR="00560F7F" w:rsidRDefault="00D4483B" w:rsidP="004E4521">
      <w:pPr>
        <w:widowControl/>
        <w:spacing w:beforeLines="50" w:line="400" w:lineRule="exact"/>
        <w:textAlignment w:val="baseline"/>
        <w:rPr>
          <w:rStyle w:val="NormalCharacter"/>
          <w:rFonts w:ascii="黑体" w:eastAsia="黑体" w:hAnsi="黑体" w:cs="仿宋_GB2312"/>
          <w:sz w:val="28"/>
          <w:szCs w:val="28"/>
        </w:rPr>
      </w:pPr>
      <w:bookmarkStart w:id="7" w:name="_Hlk128149539"/>
      <w:r>
        <w:rPr>
          <w:rStyle w:val="NormalCharacter"/>
          <w:rFonts w:ascii="黑体" w:eastAsia="黑体" w:hAnsi="黑体" w:cs="仿宋_GB2312" w:hint="eastAsia"/>
          <w:sz w:val="28"/>
        </w:rPr>
        <w:t>5.2 20级</w:t>
      </w:r>
      <w:r>
        <w:rPr>
          <w:rStyle w:val="NormalCharacter"/>
          <w:rFonts w:ascii="黑体" w:eastAsia="黑体" w:hAnsi="黑体" w:cs="仿宋_GB2312" w:hint="eastAsia"/>
          <w:sz w:val="28"/>
          <w:szCs w:val="28"/>
        </w:rPr>
        <w:t>研究生</w:t>
      </w:r>
      <w:bookmarkEnd w:id="7"/>
      <w:r>
        <w:rPr>
          <w:rStyle w:val="NormalCharacter"/>
          <w:rFonts w:ascii="黑体" w:eastAsia="黑体" w:hAnsi="黑体" w:cs="仿宋_GB2312" w:hint="eastAsia"/>
          <w:sz w:val="28"/>
          <w:szCs w:val="28"/>
        </w:rPr>
        <w:t>毕业情况</w:t>
      </w:r>
    </w:p>
    <w:p w:rsidR="00560F7F" w:rsidRDefault="00D4483B" w:rsidP="00757553">
      <w:pPr>
        <w:widowControl/>
        <w:snapToGrid w:val="0"/>
        <w:spacing w:line="400" w:lineRule="exact"/>
        <w:ind w:firstLineChars="200" w:firstLine="480"/>
        <w:textAlignment w:val="baseline"/>
        <w:rPr>
          <w:rStyle w:val="NormalCharacter"/>
          <w:rFonts w:ascii="宋体" w:eastAsia="宋体" w:hAnsi="宋体" w:cs="黑体"/>
          <w:bCs/>
          <w:szCs w:val="24"/>
        </w:rPr>
      </w:pPr>
      <w:r>
        <w:rPr>
          <w:rStyle w:val="NormalCharacter"/>
          <w:rFonts w:ascii="宋体" w:eastAsia="宋体" w:hAnsi="宋体" w:cs="黑体" w:hint="eastAsia"/>
          <w:bCs/>
          <w:szCs w:val="24"/>
        </w:rPr>
        <w:t>202</w:t>
      </w:r>
      <w:r>
        <w:rPr>
          <w:rStyle w:val="NormalCharacter"/>
          <w:rFonts w:ascii="宋体" w:eastAsia="宋体" w:hAnsi="宋体" w:cs="黑体"/>
          <w:bCs/>
          <w:szCs w:val="24"/>
        </w:rPr>
        <w:t>2</w:t>
      </w:r>
      <w:r>
        <w:rPr>
          <w:rStyle w:val="NormalCharacter"/>
          <w:rFonts w:ascii="宋体" w:eastAsia="宋体" w:hAnsi="宋体" w:cs="黑体" w:hint="eastAsia"/>
          <w:bCs/>
          <w:szCs w:val="24"/>
        </w:rPr>
        <w:t>年6月，17名研究生通过盲审，参加论文预答辩和答辩，均顺利通过（具体见表9）。</w:t>
      </w:r>
    </w:p>
    <w:p w:rsidR="00560F7F" w:rsidRDefault="00D4483B" w:rsidP="004E4521">
      <w:pPr>
        <w:pStyle w:val="1"/>
        <w:snapToGrid w:val="0"/>
        <w:spacing w:beforeLines="50"/>
        <w:jc w:val="center"/>
        <w:rPr>
          <w:rStyle w:val="NormalCharacter"/>
          <w:rFonts w:ascii="宋体" w:eastAsia="宋体" w:hAnsi="宋体" w:cs="方正仿宋简体"/>
          <w:bCs/>
          <w:sz w:val="21"/>
          <w:szCs w:val="21"/>
        </w:rPr>
      </w:pPr>
      <w:r>
        <w:rPr>
          <w:rStyle w:val="NormalCharacter"/>
          <w:rFonts w:ascii="宋体" w:eastAsia="宋体" w:hAnsi="宋体" w:cs="方正仿宋简体"/>
          <w:bCs/>
          <w:sz w:val="21"/>
          <w:szCs w:val="21"/>
        </w:rPr>
        <w:t>表</w:t>
      </w:r>
      <w:r>
        <w:rPr>
          <w:rStyle w:val="NormalCharacter"/>
          <w:rFonts w:ascii="宋体" w:eastAsia="宋体" w:hAnsi="宋体" w:cs="方正仿宋简体" w:hint="eastAsia"/>
          <w:bCs/>
          <w:sz w:val="21"/>
          <w:szCs w:val="21"/>
        </w:rPr>
        <w:t>9</w:t>
      </w:r>
      <w:r>
        <w:rPr>
          <w:rStyle w:val="NormalCharacter"/>
          <w:rFonts w:ascii="宋体" w:eastAsia="宋体" w:hAnsi="宋体" w:cs="方正仿宋简体"/>
          <w:bCs/>
          <w:sz w:val="21"/>
          <w:szCs w:val="21"/>
        </w:rPr>
        <w:t xml:space="preserve">  2022</w:t>
      </w:r>
      <w:r>
        <w:rPr>
          <w:rStyle w:val="NormalCharacter"/>
          <w:rFonts w:ascii="宋体" w:eastAsia="宋体" w:hAnsi="宋体" w:cs="方正仿宋简体" w:hint="eastAsia"/>
          <w:bCs/>
          <w:sz w:val="21"/>
          <w:szCs w:val="21"/>
        </w:rPr>
        <w:t>上半年专硕学位论文一览表（国际商务专硕）</w:t>
      </w:r>
    </w:p>
    <w:tbl>
      <w:tblPr>
        <w:tblpPr w:leftFromText="180" w:rightFromText="180" w:vertAnchor="text" w:horzAnchor="page" w:tblpXSpec="center" w:tblpY="2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764"/>
        <w:gridCol w:w="4164"/>
        <w:gridCol w:w="989"/>
        <w:gridCol w:w="767"/>
        <w:gridCol w:w="733"/>
        <w:gridCol w:w="678"/>
      </w:tblGrid>
      <w:tr w:rsidR="00560F7F">
        <w:trPr>
          <w:trHeight w:val="599"/>
        </w:trPr>
        <w:tc>
          <w:tcPr>
            <w:tcW w:w="251"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序号</w:t>
            </w:r>
          </w:p>
        </w:tc>
        <w:tc>
          <w:tcPr>
            <w:tcW w:w="448"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研究生姓名</w:t>
            </w:r>
          </w:p>
        </w:tc>
        <w:tc>
          <w:tcPr>
            <w:tcW w:w="2443"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硕士学位论文题目</w:t>
            </w:r>
          </w:p>
        </w:tc>
        <w:tc>
          <w:tcPr>
            <w:tcW w:w="580"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指导教师</w:t>
            </w:r>
          </w:p>
        </w:tc>
        <w:tc>
          <w:tcPr>
            <w:tcW w:w="450"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预答辩成绩</w:t>
            </w:r>
          </w:p>
        </w:tc>
        <w:tc>
          <w:tcPr>
            <w:tcW w:w="430"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答辩成绩</w:t>
            </w:r>
          </w:p>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（百分制）</w:t>
            </w:r>
          </w:p>
        </w:tc>
        <w:tc>
          <w:tcPr>
            <w:tcW w:w="399" w:type="pct"/>
            <w:vAlign w:val="center"/>
          </w:tcPr>
          <w:p w:rsidR="00560F7F" w:rsidRDefault="00D4483B">
            <w:pPr>
              <w:adjustRightInd w:val="0"/>
              <w:snapToGrid w:val="0"/>
              <w:jc w:val="center"/>
              <w:rPr>
                <w:rFonts w:ascii="宋体" w:eastAsia="宋体" w:hAnsi="宋体"/>
                <w:b/>
                <w:bCs/>
                <w:szCs w:val="21"/>
              </w:rPr>
            </w:pPr>
            <w:r>
              <w:rPr>
                <w:rFonts w:ascii="宋体" w:eastAsia="宋体" w:hAnsi="宋体" w:hint="eastAsia"/>
                <w:b/>
                <w:bCs/>
                <w:szCs w:val="21"/>
              </w:rPr>
              <w:t>答辩结果</w:t>
            </w:r>
          </w:p>
        </w:tc>
      </w:tr>
      <w:tr w:rsidR="00560F7F">
        <w:trPr>
          <w:trHeight w:val="375"/>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曹超</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跨境电子商务综合试验区对制造业城市产业转型效应研究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何富彩、钟俊</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67.3</w:t>
            </w:r>
          </w:p>
        </w:tc>
        <w:tc>
          <w:tcPr>
            <w:tcW w:w="399"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常慧娟</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河南省农产品出口贸易对经济增长的影响研究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朱再昱、方卫武</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74.3</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3</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常妮</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贸易便利化对中国跨境电商出口的影响-以中东欧国家为例</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王凌洪、周坚</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69.2</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4</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邓重斌</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江西FDI、对外贸易与经济增长关系研究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卢杰、周坚</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中</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76.8</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5</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郭明珠</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福建省对外直接投资影响因素研究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张定方、李俊</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中</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77</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郭玉敏</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我国对外援助负担及其经济影响研究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熊青龙、房小珍</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76.7</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李鲲</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我国外贸高质量发展评价及影响因素分析——以设立跨境电商综合试验区的省域为例</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杨春季、练秉锋</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77</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林善炯</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OFDI对制造业全要素生产率的影响研究—基于技术进步和产业结构优化的中介效应模型</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袁青燕、王铁军</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72.8</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9</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刘泓良</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OFDI逆向技术溢出对高技术企业创新能力的影响研究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卢杰、陶广华</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82.3</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10</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刘艺</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综合保税区对区域经济异质影响分析</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熊青龙、王铁军</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82.7</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11</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田迎归</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制造企业海外业务收入对其技术创新的影响</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马伟伟、熊小鹏</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69</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12</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汪欣然</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技术壁垒对我高技术产业技术创新的影响研究——以医药行业为例</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何富彩、熊小鹏</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76.7</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13</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谢杭呈</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东盟国家数字经济发展对我国OFDI的影响研究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刘兰勇、邓春梅</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78.9</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14</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徐洪宇</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OFDI与母国创新绩效——基于投资双元性的视角</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左和平、吴小平</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中</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76.5</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15</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杨迎</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“一带一路”倡议下中国与东盟制造业贸易影响因素研究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谢瑶、李文国</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74.8</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16</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杨赟</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“一带一路”背景下中国纺织业跨境电商发展路径研究——以浙江省为例</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吴光华、吴小平</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65.8</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r w:rsidR="00560F7F">
        <w:trPr>
          <w:trHeight w:val="394"/>
        </w:trPr>
        <w:tc>
          <w:tcPr>
            <w:tcW w:w="251"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17</w:t>
            </w:r>
          </w:p>
        </w:tc>
        <w:tc>
          <w:tcPr>
            <w:tcW w:w="448"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张惠玲</w:t>
            </w:r>
          </w:p>
        </w:tc>
        <w:tc>
          <w:tcPr>
            <w:tcW w:w="2443" w:type="pct"/>
            <w:vAlign w:val="center"/>
          </w:tcPr>
          <w:p w:rsidR="00560F7F" w:rsidRDefault="00D4483B">
            <w:pPr>
              <w:widowControl/>
              <w:adjustRightInd w:val="0"/>
              <w:snapToGrid w:val="0"/>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不同权力结构下考虑公平关切的跨境供应链决策研究</w:t>
            </w:r>
          </w:p>
        </w:tc>
        <w:tc>
          <w:tcPr>
            <w:tcW w:w="580" w:type="pct"/>
            <w:vAlign w:val="center"/>
          </w:tcPr>
          <w:p w:rsidR="00560F7F" w:rsidRDefault="00D4483B">
            <w:pPr>
              <w:adjustRightInd w:val="0"/>
              <w:snapToGrid w:val="0"/>
              <w:jc w:val="center"/>
              <w:rPr>
                <w:rFonts w:ascii="宋体" w:eastAsia="宋体" w:hAnsi="宋体" w:cs="宋体"/>
                <w:kern w:val="0"/>
                <w:szCs w:val="21"/>
              </w:rPr>
            </w:pPr>
            <w:r>
              <w:rPr>
                <w:rFonts w:ascii="宋体" w:eastAsia="宋体" w:hAnsi="宋体" w:hint="eastAsia"/>
                <w:szCs w:val="21"/>
              </w:rPr>
              <w:t>舒斯亮、文玉菊</w:t>
            </w:r>
          </w:p>
        </w:tc>
        <w:tc>
          <w:tcPr>
            <w:tcW w:w="450" w:type="pct"/>
            <w:vAlign w:val="center"/>
          </w:tcPr>
          <w:p w:rsidR="00560F7F" w:rsidRDefault="00D4483B">
            <w:pPr>
              <w:adjustRightInd w:val="0"/>
              <w:snapToGrid w:val="0"/>
              <w:jc w:val="center"/>
              <w:rPr>
                <w:rFonts w:ascii="宋体" w:eastAsia="宋体" w:hAnsi="宋体"/>
                <w:szCs w:val="21"/>
              </w:rPr>
            </w:pPr>
            <w:r>
              <w:rPr>
                <w:rFonts w:ascii="宋体" w:eastAsia="宋体" w:hAnsi="宋体" w:hint="eastAsia"/>
                <w:szCs w:val="21"/>
              </w:rPr>
              <w:t>良好</w:t>
            </w:r>
          </w:p>
        </w:tc>
        <w:tc>
          <w:tcPr>
            <w:tcW w:w="430" w:type="pct"/>
            <w:vAlign w:val="center"/>
          </w:tcPr>
          <w:p w:rsidR="00560F7F" w:rsidRDefault="00D4483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82.3</w:t>
            </w:r>
          </w:p>
        </w:tc>
        <w:tc>
          <w:tcPr>
            <w:tcW w:w="399" w:type="pct"/>
          </w:tcPr>
          <w:p w:rsidR="00560F7F" w:rsidRDefault="00D4483B">
            <w:pPr>
              <w:adjustRightInd w:val="0"/>
              <w:snapToGrid w:val="0"/>
              <w:rPr>
                <w:rFonts w:ascii="宋体" w:eastAsia="宋体" w:hAnsi="宋体"/>
                <w:szCs w:val="21"/>
              </w:rPr>
            </w:pPr>
            <w:r>
              <w:rPr>
                <w:rFonts w:ascii="宋体" w:eastAsia="宋体" w:hAnsi="宋体" w:cs="宋体" w:hint="eastAsia"/>
                <w:kern w:val="0"/>
                <w:szCs w:val="21"/>
              </w:rPr>
              <w:t>通过</w:t>
            </w:r>
          </w:p>
        </w:tc>
      </w:tr>
    </w:tbl>
    <w:p w:rsidR="00560F7F" w:rsidRDefault="00D4483B" w:rsidP="004E4521">
      <w:pPr>
        <w:widowControl/>
        <w:spacing w:beforeLines="50" w:line="400" w:lineRule="exact"/>
        <w:textAlignment w:val="baseline"/>
        <w:rPr>
          <w:rStyle w:val="NormalCharacter"/>
          <w:rFonts w:ascii="黑体" w:eastAsia="黑体" w:hAnsi="黑体" w:cs="仿宋_GB2312"/>
          <w:sz w:val="28"/>
        </w:rPr>
      </w:pPr>
      <w:r>
        <w:rPr>
          <w:rStyle w:val="NormalCharacter"/>
          <w:rFonts w:ascii="黑体" w:eastAsia="黑体" w:hAnsi="黑体" w:cs="仿宋_GB2312" w:hint="eastAsia"/>
          <w:sz w:val="28"/>
        </w:rPr>
        <w:t xml:space="preserve">5.2 </w:t>
      </w:r>
      <w:r>
        <w:rPr>
          <w:rStyle w:val="NormalCharacter"/>
          <w:rFonts w:ascii="黑体" w:eastAsia="黑体" w:hAnsi="黑体" w:cs="仿宋_GB2312"/>
          <w:sz w:val="28"/>
        </w:rPr>
        <w:t>20</w:t>
      </w:r>
      <w:r>
        <w:rPr>
          <w:rStyle w:val="NormalCharacter"/>
          <w:rFonts w:ascii="黑体" w:eastAsia="黑体" w:hAnsi="黑体" w:cs="仿宋_GB2312" w:hint="eastAsia"/>
          <w:sz w:val="28"/>
        </w:rPr>
        <w:t>级研究生论文中期检查情况</w:t>
      </w:r>
    </w:p>
    <w:p w:rsidR="00560F7F" w:rsidRDefault="00D4483B">
      <w:pPr>
        <w:pStyle w:val="3"/>
        <w:spacing w:line="400" w:lineRule="exact"/>
        <w:ind w:firstLine="480"/>
        <w:rPr>
          <w:rFonts w:ascii="宋体" w:eastAsia="宋体" w:hAnsi="宋体"/>
          <w:color w:val="FF0000"/>
          <w:sz w:val="24"/>
          <w:szCs w:val="24"/>
        </w:rPr>
      </w:pPr>
      <w:r>
        <w:rPr>
          <w:rStyle w:val="NormalCharacter"/>
          <w:rFonts w:ascii="宋体" w:eastAsia="宋体" w:hAnsi="宋体" w:cs="黑体" w:hint="eastAsia"/>
          <w:bCs/>
          <w:szCs w:val="24"/>
        </w:rPr>
        <w:t>202</w:t>
      </w:r>
      <w:r>
        <w:rPr>
          <w:rStyle w:val="NormalCharacter"/>
          <w:rFonts w:ascii="宋体" w:eastAsia="宋体" w:hAnsi="宋体" w:cs="黑体"/>
          <w:bCs/>
          <w:szCs w:val="24"/>
        </w:rPr>
        <w:t>2</w:t>
      </w:r>
      <w:r>
        <w:rPr>
          <w:rStyle w:val="NormalCharacter"/>
          <w:rFonts w:ascii="宋体" w:eastAsia="宋体" w:hAnsi="宋体" w:cs="黑体" w:hint="eastAsia"/>
          <w:bCs/>
          <w:szCs w:val="24"/>
        </w:rPr>
        <w:t>年1</w:t>
      </w:r>
      <w:r>
        <w:rPr>
          <w:rStyle w:val="NormalCharacter"/>
          <w:rFonts w:ascii="宋体" w:eastAsia="宋体" w:hAnsi="宋体" w:cs="黑体"/>
          <w:bCs/>
          <w:szCs w:val="24"/>
        </w:rPr>
        <w:t>0</w:t>
      </w:r>
      <w:r>
        <w:rPr>
          <w:rStyle w:val="NormalCharacter"/>
          <w:rFonts w:ascii="宋体" w:eastAsia="宋体" w:hAnsi="宋体" w:cs="黑体" w:hint="eastAsia"/>
          <w:bCs/>
          <w:szCs w:val="24"/>
        </w:rPr>
        <w:t>-</w:t>
      </w:r>
      <w:r>
        <w:rPr>
          <w:rStyle w:val="NormalCharacter"/>
          <w:rFonts w:ascii="宋体" w:eastAsia="宋体" w:hAnsi="宋体" w:cs="黑体"/>
          <w:bCs/>
          <w:szCs w:val="24"/>
        </w:rPr>
        <w:t>11</w:t>
      </w:r>
      <w:r>
        <w:rPr>
          <w:rStyle w:val="NormalCharacter"/>
          <w:rFonts w:ascii="宋体" w:eastAsia="宋体" w:hAnsi="宋体" w:cs="黑体" w:hint="eastAsia"/>
          <w:bCs/>
          <w:szCs w:val="24"/>
        </w:rPr>
        <w:t>月，对2</w:t>
      </w:r>
      <w:r>
        <w:rPr>
          <w:rStyle w:val="NormalCharacter"/>
          <w:rFonts w:ascii="宋体" w:eastAsia="宋体" w:hAnsi="宋体" w:cs="黑体"/>
          <w:bCs/>
          <w:szCs w:val="24"/>
        </w:rPr>
        <w:t>0</w:t>
      </w:r>
      <w:r>
        <w:rPr>
          <w:rStyle w:val="NormalCharacter"/>
          <w:rFonts w:ascii="宋体" w:eastAsia="宋体" w:hAnsi="宋体" w:cs="黑体" w:hint="eastAsia"/>
          <w:bCs/>
          <w:szCs w:val="24"/>
        </w:rPr>
        <w:t>级国际商务专业共17名研究生的学分完成情况和论文写作情况进行了专门的检查和考核。17名研究生的学分均完成得比较好，而论文写作内容大多数存在问题，主要表现为论文写作不够规范、水平不够高、缺乏创新。</w:t>
      </w:r>
    </w:p>
    <w:p w:rsidR="00560F7F" w:rsidRDefault="00D4483B" w:rsidP="004E4521">
      <w:pPr>
        <w:widowControl/>
        <w:spacing w:beforeLines="50" w:line="400" w:lineRule="exact"/>
        <w:textAlignment w:val="baseline"/>
        <w:rPr>
          <w:rStyle w:val="NormalCharacter"/>
          <w:rFonts w:ascii="黑体" w:eastAsia="黑体" w:hAnsi="黑体" w:cs="仿宋_GB2312"/>
          <w:sz w:val="28"/>
        </w:rPr>
      </w:pPr>
      <w:r>
        <w:rPr>
          <w:rStyle w:val="NormalCharacter"/>
          <w:rFonts w:ascii="黑体" w:eastAsia="黑体" w:hAnsi="黑体" w:cs="仿宋_GB2312" w:hint="eastAsia"/>
          <w:sz w:val="28"/>
        </w:rPr>
        <w:t>5.3 2</w:t>
      </w:r>
      <w:r>
        <w:rPr>
          <w:rStyle w:val="NormalCharacter"/>
          <w:rFonts w:ascii="黑体" w:eastAsia="黑体" w:hAnsi="黑体" w:cs="仿宋_GB2312"/>
          <w:sz w:val="28"/>
        </w:rPr>
        <w:t>1</w:t>
      </w:r>
      <w:r>
        <w:rPr>
          <w:rStyle w:val="NormalCharacter"/>
          <w:rFonts w:ascii="黑体" w:eastAsia="黑体" w:hAnsi="黑体" w:cs="仿宋_GB2312" w:hint="eastAsia"/>
          <w:sz w:val="28"/>
        </w:rPr>
        <w:t>级研究生论文开题情况</w:t>
      </w:r>
    </w:p>
    <w:p w:rsidR="00560F7F" w:rsidRDefault="00D4483B">
      <w:pPr>
        <w:pStyle w:val="3"/>
        <w:spacing w:line="400" w:lineRule="exact"/>
        <w:ind w:firstLineChars="196" w:firstLine="470"/>
        <w:rPr>
          <w:rStyle w:val="NormalCharacter"/>
          <w:rFonts w:ascii="宋体" w:eastAsia="宋体" w:hAnsi="宋体" w:cs="黑体"/>
          <w:bCs/>
          <w:szCs w:val="24"/>
        </w:rPr>
      </w:pPr>
      <w:r>
        <w:rPr>
          <w:rStyle w:val="NormalCharacter"/>
          <w:rFonts w:ascii="宋体" w:eastAsia="宋体" w:hAnsi="宋体" w:cs="黑体" w:hint="eastAsia"/>
          <w:bCs/>
          <w:szCs w:val="24"/>
        </w:rPr>
        <w:t>202</w:t>
      </w:r>
      <w:r>
        <w:rPr>
          <w:rStyle w:val="NormalCharacter"/>
          <w:rFonts w:ascii="宋体" w:eastAsia="宋体" w:hAnsi="宋体" w:cs="黑体"/>
          <w:bCs/>
          <w:szCs w:val="24"/>
        </w:rPr>
        <w:t>2</w:t>
      </w:r>
      <w:r>
        <w:rPr>
          <w:rStyle w:val="NormalCharacter"/>
          <w:rFonts w:ascii="宋体" w:eastAsia="宋体" w:hAnsi="宋体" w:cs="黑体" w:hint="eastAsia"/>
          <w:bCs/>
          <w:szCs w:val="24"/>
        </w:rPr>
        <w:t>年5月，2</w:t>
      </w:r>
      <w:r>
        <w:rPr>
          <w:rStyle w:val="NormalCharacter"/>
          <w:rFonts w:ascii="宋体" w:eastAsia="宋体" w:hAnsi="宋体" w:cs="黑体"/>
          <w:bCs/>
          <w:szCs w:val="24"/>
        </w:rPr>
        <w:t>1</w:t>
      </w:r>
      <w:r>
        <w:rPr>
          <w:rStyle w:val="NormalCharacter"/>
          <w:rFonts w:ascii="宋体" w:eastAsia="宋体" w:hAnsi="宋体" w:cs="黑体" w:hint="eastAsia"/>
          <w:bCs/>
          <w:szCs w:val="24"/>
        </w:rPr>
        <w:t>级17名研究生举行了毕业论文开题。大多数研究生的选题和写作提纲都存在较大问题，尤其是选题不够新颖和缺乏实践意义。相关专家提出修改意见，并进行第二次开题，均顺利通过。</w:t>
      </w:r>
    </w:p>
    <w:p w:rsidR="00560F7F" w:rsidRDefault="00D4483B">
      <w:pPr>
        <w:pStyle w:val="3"/>
        <w:spacing w:line="400" w:lineRule="exact"/>
        <w:ind w:firstLine="480"/>
        <w:rPr>
          <w:rFonts w:ascii="宋体" w:eastAsia="宋体" w:hAnsi="宋体"/>
          <w:color w:val="FF0000"/>
          <w:sz w:val="24"/>
          <w:szCs w:val="24"/>
        </w:rPr>
      </w:pPr>
      <w:r>
        <w:rPr>
          <w:rStyle w:val="NormalCharacter"/>
          <w:rFonts w:ascii="宋体" w:eastAsia="宋体" w:hAnsi="宋体" w:cs="黑体" w:hint="eastAsia"/>
          <w:bCs/>
          <w:szCs w:val="24"/>
        </w:rPr>
        <w:t>202</w:t>
      </w:r>
      <w:r>
        <w:rPr>
          <w:rStyle w:val="NormalCharacter"/>
          <w:rFonts w:ascii="宋体" w:eastAsia="宋体" w:hAnsi="宋体" w:cs="黑体"/>
          <w:bCs/>
          <w:szCs w:val="24"/>
        </w:rPr>
        <w:t>2</w:t>
      </w:r>
      <w:r>
        <w:rPr>
          <w:rStyle w:val="NormalCharacter"/>
          <w:rFonts w:ascii="宋体" w:eastAsia="宋体" w:hAnsi="宋体" w:cs="黑体" w:hint="eastAsia"/>
          <w:bCs/>
          <w:szCs w:val="24"/>
        </w:rPr>
        <w:t>年</w:t>
      </w:r>
      <w:r>
        <w:rPr>
          <w:rStyle w:val="NormalCharacter"/>
          <w:rFonts w:ascii="宋体" w:eastAsia="宋体" w:hAnsi="宋体" w:cs="黑体"/>
          <w:bCs/>
          <w:szCs w:val="24"/>
        </w:rPr>
        <w:t>11</w:t>
      </w:r>
      <w:r>
        <w:rPr>
          <w:rStyle w:val="NormalCharacter"/>
          <w:rFonts w:ascii="宋体" w:eastAsia="宋体" w:hAnsi="宋体" w:cs="黑体" w:hint="eastAsia"/>
          <w:bCs/>
          <w:szCs w:val="24"/>
        </w:rPr>
        <w:t>月，对21级国际商务专业共17名研究生的学分完成情况和论文写作情况进行了专门的检查和考核。17名研究生的学分均完成得比较好，论文写作存在一定问题，主要表现为论文写作不够规范、水平不够高、缺乏创新。</w:t>
      </w:r>
    </w:p>
    <w:p w:rsidR="00560F7F" w:rsidRDefault="00D4483B" w:rsidP="004E4521">
      <w:pPr>
        <w:widowControl/>
        <w:spacing w:beforeLines="50" w:line="400" w:lineRule="exact"/>
        <w:textAlignment w:val="baseline"/>
        <w:rPr>
          <w:rStyle w:val="NormalCharacter"/>
          <w:rFonts w:ascii="黑体" w:eastAsia="黑体" w:hAnsi="黑体" w:cs="仿宋_GB2312"/>
          <w:sz w:val="28"/>
        </w:rPr>
      </w:pPr>
      <w:r>
        <w:rPr>
          <w:rStyle w:val="NormalCharacter"/>
          <w:rFonts w:ascii="黑体" w:eastAsia="黑体" w:hAnsi="黑体" w:cs="仿宋_GB2312" w:hint="eastAsia"/>
          <w:sz w:val="28"/>
        </w:rPr>
        <w:t>5.4 2</w:t>
      </w:r>
      <w:r>
        <w:rPr>
          <w:rStyle w:val="NormalCharacter"/>
          <w:rFonts w:ascii="黑体" w:eastAsia="黑体" w:hAnsi="黑体" w:cs="仿宋_GB2312"/>
          <w:sz w:val="28"/>
        </w:rPr>
        <w:t>2</w:t>
      </w:r>
      <w:r>
        <w:rPr>
          <w:rStyle w:val="NormalCharacter"/>
          <w:rFonts w:ascii="黑体" w:eastAsia="黑体" w:hAnsi="黑体" w:cs="仿宋_GB2312" w:hint="eastAsia"/>
          <w:sz w:val="28"/>
        </w:rPr>
        <w:t>级研究生招生情况</w:t>
      </w:r>
    </w:p>
    <w:p w:rsidR="00560F7F" w:rsidRDefault="00D4483B">
      <w:pPr>
        <w:pStyle w:val="3"/>
        <w:spacing w:line="400" w:lineRule="exact"/>
        <w:ind w:firstLine="480"/>
        <w:rPr>
          <w:rStyle w:val="NormalCharacter"/>
          <w:rFonts w:ascii="宋体" w:eastAsia="宋体" w:hAnsi="宋体" w:cs="黑体"/>
          <w:b/>
          <w:szCs w:val="24"/>
        </w:rPr>
      </w:pPr>
      <w:r>
        <w:rPr>
          <w:rStyle w:val="NormalCharacter"/>
          <w:rFonts w:ascii="宋体" w:eastAsia="宋体" w:hAnsi="宋体" w:cs="黑体" w:hint="eastAsia"/>
          <w:bCs/>
          <w:szCs w:val="24"/>
        </w:rPr>
        <w:t>202</w:t>
      </w:r>
      <w:r>
        <w:rPr>
          <w:rStyle w:val="NormalCharacter"/>
          <w:rFonts w:ascii="宋体" w:eastAsia="宋体" w:hAnsi="宋体" w:cs="黑体"/>
          <w:bCs/>
          <w:szCs w:val="24"/>
        </w:rPr>
        <w:t>2</w:t>
      </w:r>
      <w:r>
        <w:rPr>
          <w:rStyle w:val="NormalCharacter"/>
          <w:rFonts w:ascii="宋体" w:eastAsia="宋体" w:hAnsi="宋体" w:cs="黑体" w:hint="eastAsia"/>
          <w:bCs/>
          <w:szCs w:val="24"/>
        </w:rPr>
        <w:t>年国际商务招生15人，生源质量比往年要好。</w:t>
      </w:r>
    </w:p>
    <w:p w:rsidR="00560F7F" w:rsidRDefault="00D4483B" w:rsidP="004E4521">
      <w:pPr>
        <w:widowControl/>
        <w:spacing w:beforeLines="50" w:line="400" w:lineRule="exact"/>
        <w:textAlignment w:val="baseline"/>
        <w:rPr>
          <w:rStyle w:val="NormalCharacter"/>
          <w:rFonts w:ascii="黑体" w:eastAsia="黑体" w:hAnsi="黑体" w:cs="黑体"/>
          <w:sz w:val="32"/>
          <w:szCs w:val="32"/>
        </w:rPr>
      </w:pPr>
      <w:r>
        <w:rPr>
          <w:rStyle w:val="NormalCharacter"/>
          <w:rFonts w:ascii="黑体" w:eastAsia="黑体" w:hAnsi="黑体" w:cs="黑体" w:hint="eastAsia"/>
          <w:sz w:val="32"/>
          <w:szCs w:val="32"/>
        </w:rPr>
        <w:t>6 存在问题及改进计划</w:t>
      </w:r>
    </w:p>
    <w:p w:rsidR="00560F7F" w:rsidRDefault="00D4483B" w:rsidP="004E4521">
      <w:pPr>
        <w:widowControl/>
        <w:spacing w:beforeLines="50" w:line="400" w:lineRule="exact"/>
        <w:textAlignment w:val="baseline"/>
        <w:rPr>
          <w:rStyle w:val="NormalCharacter"/>
          <w:rFonts w:ascii="黑体" w:eastAsia="黑体" w:hAnsi="黑体" w:cs="仿宋_GB2312"/>
          <w:sz w:val="28"/>
        </w:rPr>
      </w:pPr>
      <w:r>
        <w:rPr>
          <w:rStyle w:val="NormalCharacter"/>
          <w:rFonts w:ascii="黑体" w:eastAsia="黑体" w:hAnsi="黑体" w:cs="仿宋_GB2312" w:hint="eastAsia"/>
          <w:sz w:val="28"/>
        </w:rPr>
        <w:t>6.1 存在的主要问题</w:t>
      </w:r>
    </w:p>
    <w:p w:rsidR="00560F7F" w:rsidRDefault="00D4483B">
      <w:pPr>
        <w:pStyle w:val="a7"/>
        <w:widowControl/>
        <w:shd w:val="clear" w:color="auto" w:fill="FFFFFF"/>
        <w:spacing w:beforeAutospacing="0" w:afterAutospacing="0" w:line="400" w:lineRule="exact"/>
        <w:ind w:firstLineChars="200" w:firstLine="480"/>
        <w:jc w:val="both"/>
        <w:rPr>
          <w:rFonts w:ascii="宋体" w:eastAsia="宋体" w:hAnsi="宋体" w:cs="宋体"/>
        </w:rPr>
      </w:pPr>
      <w:r>
        <w:rPr>
          <w:rFonts w:ascii="宋体" w:eastAsia="宋体" w:hAnsi="宋体" w:cs="宋体" w:hint="eastAsia"/>
        </w:rPr>
        <w:t>近几年来，本学位授权点在各级教育主管部门的领导与监督下，按照《关于进一步严格规范学位与研究生教育质量管理的若干意见》中提出的相关要求，通过诸多措施提升本学位授权点的学科优势与国际商务专业硕士研究生的培养质量等，本学位授权点的培养工作取得了一定的成绩。不过，结合本学位授权点的</w:t>
      </w:r>
      <w:r>
        <w:rPr>
          <w:rFonts w:ascii="宋体" w:eastAsia="宋体" w:hAnsi="宋体" w:cs="宋体" w:hint="eastAsia"/>
        </w:rPr>
        <w:lastRenderedPageBreak/>
        <w:t>实际以及国际商务专业硕士学位建设的发展趋势，本学位授权点仍然存在以下几个比较突出的问题：</w:t>
      </w:r>
    </w:p>
    <w:p w:rsidR="00560F7F" w:rsidRDefault="00D4483B" w:rsidP="004E4521">
      <w:pPr>
        <w:pStyle w:val="a7"/>
        <w:widowControl/>
        <w:shd w:val="clear" w:color="auto" w:fill="FFFFFF"/>
        <w:spacing w:beforeLines="50" w:beforeAutospacing="0" w:afterAutospacing="0" w:line="400" w:lineRule="exact"/>
        <w:rPr>
          <w:rFonts w:ascii="黑体" w:eastAsia="黑体" w:hAnsi="黑体" w:cs="宋体"/>
          <w:bCs/>
          <w:sz w:val="26"/>
          <w:szCs w:val="26"/>
        </w:rPr>
      </w:pPr>
      <w:r>
        <w:rPr>
          <w:rFonts w:ascii="黑体" w:eastAsia="黑体" w:hAnsi="黑体" w:cs="宋体" w:hint="eastAsia"/>
          <w:bCs/>
          <w:sz w:val="26"/>
          <w:szCs w:val="26"/>
        </w:rPr>
        <w:t>6.1.1 高水平教学与科研团队的建设水平有待进一步提升</w:t>
      </w:r>
    </w:p>
    <w:p w:rsidR="00560F7F" w:rsidRDefault="00D4483B">
      <w:pPr>
        <w:pStyle w:val="a7"/>
        <w:widowControl/>
        <w:shd w:val="clear" w:color="auto" w:fill="FFFFFF"/>
        <w:spacing w:beforeAutospacing="0" w:afterAutospacing="0" w:line="400" w:lineRule="exact"/>
        <w:ind w:firstLineChars="200" w:firstLine="480"/>
        <w:jc w:val="both"/>
        <w:rPr>
          <w:rFonts w:ascii="宋体" w:eastAsia="宋体" w:hAnsi="宋体" w:cs="宋体"/>
        </w:rPr>
      </w:pPr>
      <w:r>
        <w:rPr>
          <w:rFonts w:ascii="宋体" w:eastAsia="宋体" w:hAnsi="宋体" w:cs="宋体" w:hint="eastAsia"/>
        </w:rPr>
        <w:t>基于江西科技师范大学商学院原有的国际经济与贸易以及相关本科专业建立起来的国际商务硕士专业学位点，师资力量较为雄厚，专业硕士研究生的教学质量及其培养质量也得到较好的保证。本学位授权点严格实施校内校外“双导师”制度。与此同时，在建设国际商务专业硕士学位的过程中，学校学院大力推动“双师型”导师体制建设。但是，整体上来看，本学位授权点的专业教学与科研团队建设还是存在一定的不足之处。就国际商务专业硕士学位点师资队伍以及校内研究生指导老师的整体而言，在学科研究水平、促进成果转化或提供咨询服务、推动智库建设以及服务国家战略与助力地方经济社会发展上取得的标志性成果等方面还是存在一定的不足。</w:t>
      </w:r>
    </w:p>
    <w:p w:rsidR="00560F7F" w:rsidRDefault="00D4483B" w:rsidP="004E4521">
      <w:pPr>
        <w:pStyle w:val="a7"/>
        <w:widowControl/>
        <w:shd w:val="clear" w:color="auto" w:fill="FFFFFF"/>
        <w:spacing w:beforeLines="50" w:beforeAutospacing="0" w:afterAutospacing="0" w:line="400" w:lineRule="exact"/>
        <w:rPr>
          <w:rFonts w:ascii="黑体" w:eastAsia="黑体" w:hAnsi="黑体" w:cs="宋体"/>
          <w:bCs/>
          <w:sz w:val="26"/>
          <w:szCs w:val="26"/>
        </w:rPr>
      </w:pPr>
      <w:r>
        <w:rPr>
          <w:rFonts w:ascii="黑体" w:eastAsia="黑体" w:hAnsi="黑体" w:cs="宋体" w:hint="eastAsia"/>
          <w:bCs/>
          <w:sz w:val="26"/>
          <w:szCs w:val="26"/>
        </w:rPr>
        <w:t>6.1.2 学科特色不是十分突出、学科优势略显不足</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国际商务专业硕士致力于培养胜任在企事业单位、政府部门和社会团体从事国际商务经营运作与管理工作的高层次、应用型、复合型国际商务专门人才。本学位授权点自设立以来，特别注重国际商务专业硕士培养全过程中的社会实践、科研实践与教学实践的统一。不过，从目前来看，本学位授权点设立的时间尚短，与同类兄弟院校的国际商务专业硕士学位点相比，并不具有突出的学科优势、学科特色也略显不足。比如就社会实践方面而言，在提升研究生整体的创新能力上稍显不足。在科研实践方面，指导老师以及研究生共同参与具体的行业与企业案例调查研究等上还是存在一定的不足之处。在教学实践方面，专业课程的教学与学生评价之间的结合也不是很紧密，尚未形成良好的专业课程教学与评价双向反馈机制等。</w:t>
      </w:r>
    </w:p>
    <w:p w:rsidR="00560F7F" w:rsidRDefault="00D4483B" w:rsidP="004E4521">
      <w:pPr>
        <w:pStyle w:val="a7"/>
        <w:widowControl/>
        <w:shd w:val="clear" w:color="auto" w:fill="FFFFFF"/>
        <w:spacing w:beforeLines="50" w:beforeAutospacing="0" w:afterAutospacing="0" w:line="400" w:lineRule="exact"/>
        <w:rPr>
          <w:rFonts w:ascii="黑体" w:eastAsia="黑体" w:hAnsi="黑体" w:cs="宋体"/>
          <w:bCs/>
          <w:sz w:val="26"/>
          <w:szCs w:val="26"/>
        </w:rPr>
      </w:pPr>
      <w:r>
        <w:rPr>
          <w:rFonts w:ascii="黑体" w:eastAsia="黑体" w:hAnsi="黑体" w:cs="宋体" w:hint="eastAsia"/>
          <w:bCs/>
          <w:sz w:val="26"/>
          <w:szCs w:val="26"/>
        </w:rPr>
        <w:t>6.1.3 校企合作的力度和深度都有待加强</w:t>
      </w:r>
    </w:p>
    <w:p w:rsidR="00560F7F" w:rsidRDefault="00D4483B">
      <w:pPr>
        <w:pStyle w:val="a7"/>
        <w:widowControl/>
        <w:shd w:val="clear" w:color="auto" w:fill="FFFFFF"/>
        <w:spacing w:beforeAutospacing="0" w:afterAutospacing="0" w:line="360" w:lineRule="auto"/>
        <w:ind w:firstLineChars="200" w:firstLine="480"/>
        <w:rPr>
          <w:rFonts w:ascii="宋体" w:eastAsia="宋体" w:hAnsi="宋体" w:cs="宋体"/>
        </w:rPr>
      </w:pPr>
      <w:r>
        <w:rPr>
          <w:rFonts w:ascii="宋体" w:eastAsia="宋体" w:hAnsi="宋体" w:cs="宋体" w:hint="eastAsia"/>
        </w:rPr>
        <w:t>本学位授权点在推动校企合作的力度以及拓展校企合作的深度上还是存在一定的不足之处。一方面，本学位授权点积极通过学校与校外企事业单位合作，充分利用社会资源来提升研究生的社会实践能力。不过，从目前来看，与本学位授权点直接相关的实习基地（联合培养基地）的同质化问题较为突出、实习基地的多样性也稍显欠缺，校企合作的力度有待加强。另一方面，从相关院校的国际商务专业硕士学位点的实践来看，校企合作还意味着学位点通过继续教育以及培训咨询等为建立合作关系的企事业单位自身更快更好地发展提供智力支持。经由</w:t>
      </w:r>
      <w:r>
        <w:rPr>
          <w:rFonts w:ascii="宋体" w:eastAsia="宋体" w:hAnsi="宋体" w:cs="宋体" w:hint="eastAsia"/>
        </w:rPr>
        <w:lastRenderedPageBreak/>
        <w:t>教育、行业与企业的深入合作，有力地促进产融结合，实现双赢。从这一方面来看，本学位授权点在促进校企之间的深入合作上还是存在较为明显的不足。</w:t>
      </w:r>
    </w:p>
    <w:p w:rsidR="00560F7F" w:rsidRDefault="00D4483B" w:rsidP="004E4521">
      <w:pPr>
        <w:pStyle w:val="a7"/>
        <w:widowControl/>
        <w:shd w:val="clear" w:color="auto" w:fill="FFFFFF"/>
        <w:spacing w:beforeLines="50" w:beforeAutospacing="0" w:afterAutospacing="0" w:line="400" w:lineRule="exact"/>
        <w:rPr>
          <w:rFonts w:ascii="黑体" w:eastAsia="黑体" w:hAnsi="黑体" w:cs="宋体"/>
          <w:bCs/>
          <w:sz w:val="26"/>
          <w:szCs w:val="26"/>
        </w:rPr>
      </w:pPr>
      <w:r>
        <w:rPr>
          <w:rFonts w:ascii="黑体" w:eastAsia="黑体" w:hAnsi="黑体" w:cs="宋体" w:hint="eastAsia"/>
          <w:bCs/>
          <w:sz w:val="26"/>
          <w:szCs w:val="26"/>
        </w:rPr>
        <w:t>6.1.4 研究生教育质量督导工作存在一定的不足之处</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从本学位授权点的实际来看，在研究生教育质量督导上存在一定的不足之处。研究生教育质量督导工作是健全研究生教育质量监控、加强研究生教育全过程管理进而提升研究生培养质量的一个重要环节。经过近几年的努力，本学位授权点在加强研究生教育全过程管理上取得了较大的进展。不过，外部对研究生教育全过程管理的监督则略显不足。诸如在研究生学位论文开题、中期检查以及学位论文预答辩等环节，欠缺一定的规范性与客观性，可以通过外部监督经由内外双向的良性反馈提升这一过程的规范性与客观性，提升研究生学位论文的质量。</w:t>
      </w:r>
    </w:p>
    <w:p w:rsidR="00560F7F" w:rsidRDefault="00D4483B" w:rsidP="004E4521">
      <w:pPr>
        <w:widowControl/>
        <w:spacing w:beforeLines="50" w:line="400" w:lineRule="exact"/>
        <w:textAlignment w:val="baseline"/>
        <w:rPr>
          <w:rStyle w:val="NormalCharacter"/>
          <w:rFonts w:ascii="黑体" w:eastAsia="黑体" w:hAnsi="黑体" w:cs="仿宋_GB2312"/>
          <w:sz w:val="28"/>
        </w:rPr>
      </w:pPr>
      <w:r>
        <w:rPr>
          <w:rStyle w:val="NormalCharacter"/>
          <w:rFonts w:ascii="黑体" w:eastAsia="黑体" w:hAnsi="黑体" w:cs="仿宋_GB2312" w:hint="eastAsia"/>
          <w:sz w:val="28"/>
        </w:rPr>
        <w:t>6.2 改进计划与相关保障措施</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第一，进一步优化教学与科研团队、提升学位授权点的教学与科研水平。与此同时，推动服务于地区经济与社会发展的智库建设，为实现江西省高质量发展建言献策。一方面，需要凝练方向，结合学科发展前沿领域与国家重大的现实需求，推进建设具有较高水平科研团队的工作力度，以期产生更多原创性与前沿性高水平标志性成果。另一方面，结合江西省地方经济与社会发展需要，推动服务于区域经济与社会全面进步的智库建设，为实现江西省中部地区崛起与高质量发展提供智力支持。</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第二，基于学位授权点自身实际，借鉴外部经验，逐步形成较具竞争力的学科优势。国际商务专业硕士致力于培养适应开放背景下参与全球竞争的具有理论性、实践性与创新性的综合性复合人才，致力于推进国家与区域经济及社会的全面发展。在当前全球经济不确定背景以及推进全国统一大市场的宏观背景下，本学位授权点将进一步立足国家战略需要与社会人才需要双轮驱动战略，聚焦全国与地方经济社会发展需要，努力打造服务于全国与地方高质量发展的人才培养体系，逐步形成具有鲜明特色的服务于高质量发展专业硕士点人才培养体系。</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第三，推进校企合作的广度和深度。与类似专业学术硕士学位点相比，国际商务专业硕士学位授权点的一个显著不同就在于专业硕士学位可以凸显社会力量在人才培养、学科建设及其发展等层面的重要作用。通过学校与企事业单位之间的深入合作，可以探索适应经济与社会转型等的多样化人才培养模式，进而提升人才培养质量。</w:t>
      </w:r>
      <w:bookmarkStart w:id="8" w:name="_Hlk103850861"/>
      <w:r>
        <w:rPr>
          <w:rFonts w:ascii="宋体" w:eastAsia="宋体" w:hAnsi="宋体" w:cs="宋体" w:hint="eastAsia"/>
        </w:rPr>
        <w:t>近几年来，本学位授权点通过校内校外双导师机制以及建设校外实习基地等，积极探索立足江西辐射全国的校企合作模式。与此同时，需要花大力气拓展校企合作的广度、深化校企合作的范畴与模式，实现专业硕士学位授</w:t>
      </w:r>
      <w:r>
        <w:rPr>
          <w:rFonts w:ascii="宋体" w:eastAsia="宋体" w:hAnsi="宋体" w:cs="宋体" w:hint="eastAsia"/>
        </w:rPr>
        <w:lastRenderedPageBreak/>
        <w:t>权点与合作一方的企事业单位双向互动、良性反馈，推动校企合作双方的互利互惠。</w:t>
      </w:r>
      <w:bookmarkEnd w:id="8"/>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第四，以评促建、以督促教、以督促建。一方面，“以评促建”。专业评价有助于发现自身的不足之处，为其后学位点的建设指出了方向。本学位授权点自成立以来，取得了一定的成效。不过，从本次专业评价来看，本学位授权点仍然存在一定的不足之处。在本次专业评价结果的基础上，对于专业评价中发现的相关问题，将会高度重视并且采取切实措施确保整改到位。与此同时，将继续认真履行职责，严格按照《国际商务硕士专业学位授权点专项评估指标体系》要求，明确下一步的工作重点和方向，全面推进专业硕士学位授权点的建设工作。另一方面，“以督促教、以督促建”。结合本学位授权点的发展实际，强化督导在研究生培养全过程管理以及专业硕士学科建设中的职能和作用。强化督导的职能和作用，有助于尽快地发现本学位授权点建设过程中出现的问题以及有待改进的方面。整体上来看，强化督导在研究生全过程管理以及学位授权点建设中的作用，有助于形成专业学位授权点自身与督导双方之间的双向反馈机制，有助于尽快提升专业硕士学位授权点的水平。以期实现专业硕士学位点的内涵式发展，进一步提升人才培养质量。</w:t>
      </w:r>
    </w:p>
    <w:p w:rsidR="00560F7F" w:rsidRDefault="00D4483B">
      <w:pPr>
        <w:pStyle w:val="a7"/>
        <w:widowControl/>
        <w:shd w:val="clear" w:color="auto" w:fill="FFFFFF"/>
        <w:spacing w:beforeAutospacing="0" w:afterAutospacing="0" w:line="400" w:lineRule="exact"/>
        <w:ind w:firstLineChars="200" w:firstLine="480"/>
        <w:rPr>
          <w:rFonts w:ascii="宋体" w:eastAsia="宋体" w:hAnsi="宋体" w:cs="宋体"/>
        </w:rPr>
      </w:pPr>
      <w:r>
        <w:rPr>
          <w:rFonts w:ascii="宋体" w:eastAsia="宋体" w:hAnsi="宋体" w:cs="宋体" w:hint="eastAsia"/>
        </w:rPr>
        <w:t>总之，本专业硕士学位授权点在今后的工作中，将努力建设具有较高水平的教学与科研团队、创新人才培养模式、深化校企合作、以评促建、以督促建，逐步提高本专业学位授权点的水平，努力建设与全国及江西省地方经济社会发展相适应的具有鲜明特色并且较具竞争力的国际商务专业学位点。</w:t>
      </w:r>
    </w:p>
    <w:sectPr w:rsidR="00560F7F" w:rsidSect="00560F7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107" w:rsidRDefault="00504107" w:rsidP="00560F7F">
      <w:r>
        <w:separator/>
      </w:r>
    </w:p>
  </w:endnote>
  <w:endnote w:type="continuationSeparator" w:id="1">
    <w:p w:rsidR="00504107" w:rsidRDefault="00504107" w:rsidP="00560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CC" w:rsidRDefault="001C54CC">
    <w:pPr>
      <w:pStyle w:val="a4"/>
      <w:widowControl/>
      <w:textAlignment w:val="baseline"/>
      <w:rPr>
        <w:rStyle w:val="NormalCharacter"/>
        <w:rFonts w:ascii="Times New Roman" w:eastAsia="宋体"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CC" w:rsidRDefault="0094237F">
    <w:pPr>
      <w:pStyle w:val="a4"/>
      <w:widowControl/>
      <w:jc w:val="center"/>
      <w:textAlignment w:val="baseline"/>
      <w:rPr>
        <w:rStyle w:val="NormalCharacter"/>
        <w:rFonts w:ascii="Times New Roman" w:eastAsia="宋体" w:hAnsi="Times New Roman"/>
        <w:sz w:val="28"/>
        <w:szCs w:val="28"/>
      </w:rPr>
    </w:pPr>
    <w:r w:rsidRPr="0094237F">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filled="f" stroked="f" strokeweight=".5pt">
          <v:textbox style="mso-fit-shape-to-text:t" inset="0,0,0,0">
            <w:txbxContent>
              <w:p w:rsidR="001C54CC" w:rsidRDefault="0094237F">
                <w:pPr>
                  <w:pStyle w:val="a4"/>
                  <w:rPr>
                    <w:rFonts w:eastAsia="宋体"/>
                  </w:rPr>
                </w:pPr>
                <w:fldSimple w:instr=" PAGE  \* MERGEFORMAT ">
                  <w:r w:rsidR="00870972">
                    <w:rPr>
                      <w:noProof/>
                    </w:rPr>
                    <w:t>11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107" w:rsidRDefault="00504107" w:rsidP="00560F7F">
      <w:r>
        <w:separator/>
      </w:r>
    </w:p>
  </w:footnote>
  <w:footnote w:type="continuationSeparator" w:id="1">
    <w:p w:rsidR="00504107" w:rsidRDefault="00504107" w:rsidP="00560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c5MzQzMjFkY2JiY2NlNzFkY2Q0NWU5ZWQ0NDQ5ZmQifQ=="/>
  </w:docVars>
  <w:rsids>
    <w:rsidRoot w:val="002D6F97"/>
    <w:rsid w:val="0000767F"/>
    <w:rsid w:val="00050CAD"/>
    <w:rsid w:val="00081566"/>
    <w:rsid w:val="001333D0"/>
    <w:rsid w:val="00140985"/>
    <w:rsid w:val="00166132"/>
    <w:rsid w:val="001C4D2A"/>
    <w:rsid w:val="001C54CC"/>
    <w:rsid w:val="001E5EDC"/>
    <w:rsid w:val="00222B20"/>
    <w:rsid w:val="002D6F97"/>
    <w:rsid w:val="003179CF"/>
    <w:rsid w:val="003224CC"/>
    <w:rsid w:val="003B61FD"/>
    <w:rsid w:val="003C540D"/>
    <w:rsid w:val="003F193D"/>
    <w:rsid w:val="004017BE"/>
    <w:rsid w:val="00487013"/>
    <w:rsid w:val="00492518"/>
    <w:rsid w:val="004E4521"/>
    <w:rsid w:val="004F7050"/>
    <w:rsid w:val="00504107"/>
    <w:rsid w:val="0053582D"/>
    <w:rsid w:val="005503BA"/>
    <w:rsid w:val="00560F7F"/>
    <w:rsid w:val="005B60D5"/>
    <w:rsid w:val="005B783F"/>
    <w:rsid w:val="005B7DBD"/>
    <w:rsid w:val="005C6DFD"/>
    <w:rsid w:val="00620650"/>
    <w:rsid w:val="00650624"/>
    <w:rsid w:val="00655BA2"/>
    <w:rsid w:val="00660176"/>
    <w:rsid w:val="0069756D"/>
    <w:rsid w:val="006B687D"/>
    <w:rsid w:val="006E09AF"/>
    <w:rsid w:val="00726EB3"/>
    <w:rsid w:val="00757553"/>
    <w:rsid w:val="007900AB"/>
    <w:rsid w:val="00810523"/>
    <w:rsid w:val="008371C7"/>
    <w:rsid w:val="0085643E"/>
    <w:rsid w:val="00870972"/>
    <w:rsid w:val="00876557"/>
    <w:rsid w:val="00883D05"/>
    <w:rsid w:val="008D2D1E"/>
    <w:rsid w:val="008D4F61"/>
    <w:rsid w:val="008E592B"/>
    <w:rsid w:val="008F4277"/>
    <w:rsid w:val="00902746"/>
    <w:rsid w:val="0092003E"/>
    <w:rsid w:val="00934631"/>
    <w:rsid w:val="0094237F"/>
    <w:rsid w:val="009B2253"/>
    <w:rsid w:val="00AA407A"/>
    <w:rsid w:val="00AF3A77"/>
    <w:rsid w:val="00B10F80"/>
    <w:rsid w:val="00B20117"/>
    <w:rsid w:val="00B71B0A"/>
    <w:rsid w:val="00B85A95"/>
    <w:rsid w:val="00B86583"/>
    <w:rsid w:val="00B94995"/>
    <w:rsid w:val="00BE2E6B"/>
    <w:rsid w:val="00BF656D"/>
    <w:rsid w:val="00C009DD"/>
    <w:rsid w:val="00C72D1E"/>
    <w:rsid w:val="00CE1083"/>
    <w:rsid w:val="00D05E38"/>
    <w:rsid w:val="00D12630"/>
    <w:rsid w:val="00D40497"/>
    <w:rsid w:val="00D4483B"/>
    <w:rsid w:val="00DA3ADF"/>
    <w:rsid w:val="00E06B44"/>
    <w:rsid w:val="00E249A5"/>
    <w:rsid w:val="00EA45D4"/>
    <w:rsid w:val="00EC6612"/>
    <w:rsid w:val="00F0524D"/>
    <w:rsid w:val="00F3087F"/>
    <w:rsid w:val="00F44D8D"/>
    <w:rsid w:val="00F5738D"/>
    <w:rsid w:val="00F84BAE"/>
    <w:rsid w:val="00F9397B"/>
    <w:rsid w:val="00FD4C04"/>
    <w:rsid w:val="00FF6100"/>
    <w:rsid w:val="26F9313C"/>
    <w:rsid w:val="2AAE0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7F"/>
    <w:pPr>
      <w:widowControl w:val="0"/>
      <w:jc w:val="both"/>
    </w:pPr>
    <w:rPr>
      <w:kern w:val="2"/>
      <w:sz w:val="21"/>
      <w:szCs w:val="22"/>
    </w:rPr>
  </w:style>
  <w:style w:type="paragraph" w:styleId="2">
    <w:name w:val="heading 2"/>
    <w:basedOn w:val="a"/>
    <w:next w:val="a"/>
    <w:link w:val="2Char"/>
    <w:uiPriority w:val="9"/>
    <w:semiHidden/>
    <w:unhideWhenUsed/>
    <w:qFormat/>
    <w:rsid w:val="00560F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560F7F"/>
    <w:pPr>
      <w:spacing w:line="600" w:lineRule="exact"/>
      <w:ind w:firstLineChars="200" w:firstLine="640"/>
      <w:outlineLvl w:val="2"/>
    </w:pPr>
    <w:rPr>
      <w:rFonts w:ascii="黑体" w:eastAsia="黑体" w:hAnsi="黑体"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560F7F"/>
    <w:pPr>
      <w:autoSpaceDE w:val="0"/>
      <w:autoSpaceDN w:val="0"/>
      <w:spacing w:before="161"/>
      <w:ind w:left="900" w:firstLine="48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rsid w:val="00560F7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60F7F"/>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rsid w:val="00560F7F"/>
    <w:pPr>
      <w:snapToGrid w:val="0"/>
      <w:jc w:val="left"/>
    </w:pPr>
    <w:rPr>
      <w:rFonts w:ascii="Calibri" w:eastAsia="方正仿宋简体" w:hAnsi="Calibri" w:cs="Times New Roman"/>
      <w:sz w:val="18"/>
      <w:szCs w:val="18"/>
    </w:rPr>
  </w:style>
  <w:style w:type="paragraph" w:styleId="a7">
    <w:name w:val="Normal (Web)"/>
    <w:basedOn w:val="a"/>
    <w:uiPriority w:val="99"/>
    <w:qFormat/>
    <w:rsid w:val="00560F7F"/>
    <w:pPr>
      <w:spacing w:beforeAutospacing="1" w:afterAutospacing="1"/>
      <w:jc w:val="left"/>
    </w:pPr>
    <w:rPr>
      <w:rFonts w:ascii="Calibri" w:eastAsia="方正仿宋简体" w:hAnsi="Calibri" w:cs="Times New Roman"/>
      <w:kern w:val="0"/>
      <w:sz w:val="24"/>
      <w:szCs w:val="24"/>
    </w:rPr>
  </w:style>
  <w:style w:type="table" w:styleId="a8">
    <w:name w:val="Table Grid"/>
    <w:basedOn w:val="a1"/>
    <w:uiPriority w:val="99"/>
    <w:qFormat/>
    <w:rsid w:val="00560F7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560F7F"/>
    <w:rPr>
      <w:color w:val="0563C1"/>
      <w:u w:val="single"/>
    </w:rPr>
  </w:style>
  <w:style w:type="character" w:customStyle="1" w:styleId="Char1">
    <w:name w:val="页眉 Char"/>
    <w:basedOn w:val="a0"/>
    <w:link w:val="a5"/>
    <w:uiPriority w:val="99"/>
    <w:semiHidden/>
    <w:qFormat/>
    <w:rsid w:val="00560F7F"/>
    <w:rPr>
      <w:sz w:val="18"/>
      <w:szCs w:val="18"/>
    </w:rPr>
  </w:style>
  <w:style w:type="character" w:customStyle="1" w:styleId="Char0">
    <w:name w:val="页脚 Char"/>
    <w:basedOn w:val="a0"/>
    <w:link w:val="a4"/>
    <w:uiPriority w:val="99"/>
    <w:semiHidden/>
    <w:qFormat/>
    <w:rsid w:val="00560F7F"/>
    <w:rPr>
      <w:sz w:val="18"/>
      <w:szCs w:val="18"/>
    </w:rPr>
  </w:style>
  <w:style w:type="character" w:customStyle="1" w:styleId="3Char">
    <w:name w:val="标题 3 Char"/>
    <w:basedOn w:val="a0"/>
    <w:link w:val="3"/>
    <w:uiPriority w:val="99"/>
    <w:qFormat/>
    <w:rsid w:val="00560F7F"/>
    <w:rPr>
      <w:rFonts w:ascii="黑体" w:eastAsia="黑体" w:hAnsi="黑体" w:cs="Times New Roman"/>
      <w:color w:val="000000"/>
      <w:sz w:val="32"/>
      <w:szCs w:val="32"/>
    </w:rPr>
  </w:style>
  <w:style w:type="character" w:customStyle="1" w:styleId="Char2">
    <w:name w:val="脚注文本 Char"/>
    <w:basedOn w:val="a0"/>
    <w:link w:val="a6"/>
    <w:uiPriority w:val="99"/>
    <w:qFormat/>
    <w:rsid w:val="00560F7F"/>
    <w:rPr>
      <w:rFonts w:ascii="Calibri" w:eastAsia="方正仿宋简体" w:hAnsi="Calibri" w:cs="Times New Roman"/>
      <w:sz w:val="18"/>
      <w:szCs w:val="18"/>
    </w:rPr>
  </w:style>
  <w:style w:type="character" w:customStyle="1" w:styleId="Char">
    <w:name w:val="正文文本 Char"/>
    <w:basedOn w:val="a0"/>
    <w:link w:val="a3"/>
    <w:uiPriority w:val="1"/>
    <w:qFormat/>
    <w:rsid w:val="00560F7F"/>
    <w:rPr>
      <w:rFonts w:ascii="宋体" w:eastAsia="宋体" w:hAnsi="宋体" w:cs="宋体"/>
      <w:kern w:val="0"/>
      <w:sz w:val="24"/>
      <w:szCs w:val="24"/>
      <w:lang w:val="zh-CN" w:bidi="zh-CN"/>
    </w:rPr>
  </w:style>
  <w:style w:type="character" w:customStyle="1" w:styleId="NormalCharacter">
    <w:name w:val="NormalCharacter"/>
    <w:uiPriority w:val="99"/>
    <w:semiHidden/>
    <w:qFormat/>
    <w:rsid w:val="00560F7F"/>
    <w:rPr>
      <w:rFonts w:ascii="Calibri" w:eastAsia="方正仿宋简体" w:hAnsi="Calibri"/>
      <w:kern w:val="2"/>
      <w:sz w:val="24"/>
      <w:lang w:val="en-US" w:eastAsia="zh-CN"/>
    </w:rPr>
  </w:style>
  <w:style w:type="paragraph" w:customStyle="1" w:styleId="Heading3">
    <w:name w:val="Heading3"/>
    <w:basedOn w:val="a"/>
    <w:next w:val="a"/>
    <w:uiPriority w:val="99"/>
    <w:qFormat/>
    <w:rsid w:val="00560F7F"/>
    <w:pPr>
      <w:spacing w:line="600" w:lineRule="exact"/>
      <w:ind w:firstLineChars="200" w:firstLine="640"/>
      <w:textAlignment w:val="baseline"/>
    </w:pPr>
    <w:rPr>
      <w:rFonts w:ascii="黑体" w:eastAsia="黑体" w:hAnsi="黑体" w:cs="Times New Roman"/>
      <w:color w:val="000000"/>
      <w:sz w:val="32"/>
      <w:szCs w:val="32"/>
    </w:rPr>
  </w:style>
  <w:style w:type="paragraph" w:customStyle="1" w:styleId="20">
    <w:name w:val="列出段落2"/>
    <w:basedOn w:val="a"/>
    <w:uiPriority w:val="34"/>
    <w:qFormat/>
    <w:rsid w:val="00560F7F"/>
    <w:pPr>
      <w:ind w:firstLineChars="200" w:firstLine="420"/>
    </w:pPr>
    <w:rPr>
      <w:rFonts w:ascii="Calibri" w:eastAsia="方正仿宋简体" w:hAnsi="Calibri" w:cs="Times New Roman"/>
      <w:sz w:val="32"/>
      <w:szCs w:val="24"/>
    </w:rPr>
  </w:style>
  <w:style w:type="paragraph" w:customStyle="1" w:styleId="1">
    <w:name w:val="列出段落1"/>
    <w:basedOn w:val="a"/>
    <w:uiPriority w:val="34"/>
    <w:qFormat/>
    <w:rsid w:val="00560F7F"/>
    <w:pPr>
      <w:ind w:firstLineChars="200" w:firstLine="420"/>
    </w:pPr>
    <w:rPr>
      <w:rFonts w:ascii="Calibri" w:eastAsia="方正仿宋简体" w:hAnsi="Calibri" w:cs="Times New Roman"/>
      <w:sz w:val="32"/>
      <w:szCs w:val="24"/>
    </w:rPr>
  </w:style>
  <w:style w:type="paragraph" w:styleId="aa">
    <w:name w:val="List Paragraph"/>
    <w:basedOn w:val="a"/>
    <w:uiPriority w:val="99"/>
    <w:qFormat/>
    <w:rsid w:val="00560F7F"/>
    <w:pPr>
      <w:widowControl/>
      <w:ind w:left="320" w:firstLine="559"/>
      <w:jc w:val="left"/>
    </w:pPr>
    <w:rPr>
      <w:rFonts w:ascii="宋体" w:eastAsia="宋体" w:hAnsi="宋体" w:cs="宋体"/>
      <w:kern w:val="0"/>
      <w:sz w:val="24"/>
      <w:szCs w:val="24"/>
    </w:rPr>
  </w:style>
  <w:style w:type="character" w:customStyle="1" w:styleId="2Char">
    <w:name w:val="标题 2 Char"/>
    <w:basedOn w:val="a0"/>
    <w:link w:val="2"/>
    <w:uiPriority w:val="9"/>
    <w:semiHidden/>
    <w:qFormat/>
    <w:rsid w:val="00560F7F"/>
    <w:rPr>
      <w:rFonts w:asciiTheme="majorHAnsi" w:eastAsiaTheme="majorEastAsia" w:hAnsiTheme="majorHAnsi" w:cstheme="majorBidi"/>
      <w:b/>
      <w:bCs/>
      <w:sz w:val="32"/>
      <w:szCs w:val="32"/>
    </w:rPr>
  </w:style>
  <w:style w:type="character" w:customStyle="1" w:styleId="fontstyle11">
    <w:name w:val="fontstyle11"/>
    <w:basedOn w:val="a0"/>
    <w:qFormat/>
    <w:rsid w:val="00560F7F"/>
    <w:rPr>
      <w:rFonts w:ascii="宋体" w:eastAsia="宋体" w:hAnsi="宋体" w:hint="eastAsia"/>
      <w:color w:val="000000"/>
      <w:sz w:val="24"/>
      <w:szCs w:val="24"/>
    </w:rPr>
  </w:style>
  <w:style w:type="paragraph" w:customStyle="1" w:styleId="TableParagraph">
    <w:name w:val="Table Paragraph"/>
    <w:basedOn w:val="a"/>
    <w:uiPriority w:val="1"/>
    <w:qFormat/>
    <w:rsid w:val="00560F7F"/>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06173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2023-11-09T07:15:00Z</dcterms:created>
  <dcterms:modified xsi:type="dcterms:W3CDTF">2023-11-09T07:16:00Z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1584D8270DDD49E18238E75B75F0B66C_12</vt:lpwstr>
  </property>
</Properties>
</file>