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line="560" w:lineRule="exact"/>
        <w:jc w:val="center"/>
        <w:textAlignment w:val="baseline"/>
        <w:rPr>
          <w:rStyle w:val="26"/>
          <w:rFonts w:ascii="方正小标宋简体" w:hAnsi="宋体" w:eastAsia="方正小标宋简体"/>
          <w:b/>
          <w:sz w:val="44"/>
          <w:szCs w:val="44"/>
        </w:rPr>
      </w:pPr>
    </w:p>
    <w:p>
      <w:pPr>
        <w:spacing w:after="156" w:line="560" w:lineRule="exact"/>
        <w:jc w:val="center"/>
        <w:textAlignment w:val="baseline"/>
        <w:rPr>
          <w:rStyle w:val="26"/>
          <w:rFonts w:ascii="方正小标宋简体" w:hAnsi="宋体" w:eastAsia="方正小标宋简体"/>
          <w:bCs/>
          <w:sz w:val="44"/>
          <w:szCs w:val="44"/>
        </w:rPr>
      </w:pPr>
    </w:p>
    <w:p>
      <w:pPr>
        <w:spacing w:after="156" w:line="560" w:lineRule="exact"/>
        <w:jc w:val="center"/>
        <w:textAlignment w:val="baseline"/>
        <w:rPr>
          <w:rStyle w:val="26"/>
          <w:rFonts w:ascii="方正小标宋简体" w:hAnsi="宋体" w:eastAsia="方正小标宋简体"/>
          <w:bCs/>
          <w:sz w:val="44"/>
          <w:szCs w:val="44"/>
        </w:rPr>
      </w:pPr>
    </w:p>
    <w:p>
      <w:pPr>
        <w:spacing w:after="156" w:line="560" w:lineRule="exact"/>
        <w:jc w:val="center"/>
        <w:textAlignment w:val="baseline"/>
        <w:rPr>
          <w:rStyle w:val="26"/>
          <w:rFonts w:ascii="方正小标宋简体" w:hAnsi="宋体" w:eastAsia="方正小标宋简体"/>
          <w:bCs/>
          <w:sz w:val="44"/>
          <w:szCs w:val="44"/>
        </w:rPr>
      </w:pPr>
      <w:bookmarkStart w:id="0" w:name="OLE_LINK1"/>
      <w:bookmarkStart w:id="1" w:name="OLE_LINK2"/>
      <w:r>
        <w:rPr>
          <w:rStyle w:val="26"/>
          <w:rFonts w:hint="eastAsia" w:ascii="方正小标宋简体" w:hAnsi="宋体" w:eastAsia="方正小标宋简体"/>
          <w:bCs/>
          <w:sz w:val="44"/>
          <w:szCs w:val="44"/>
        </w:rPr>
        <w:t>学位授权点建设年度报告</w:t>
      </w:r>
    </w:p>
    <w:bookmarkEnd w:id="0"/>
    <w:bookmarkEnd w:id="1"/>
    <w:p>
      <w:pPr>
        <w:spacing w:after="156" w:line="560" w:lineRule="exact"/>
        <w:jc w:val="center"/>
        <w:textAlignment w:val="baseline"/>
        <w:rPr>
          <w:rStyle w:val="26"/>
          <w:rFonts w:ascii="方正小标宋简体" w:hAnsi="宋体" w:eastAsia="方正小标宋简体"/>
          <w:bCs/>
          <w:sz w:val="44"/>
          <w:szCs w:val="44"/>
        </w:rPr>
      </w:pPr>
      <w:r>
        <w:rPr>
          <w:rStyle w:val="26"/>
          <w:rFonts w:hint="eastAsia" w:ascii="方正小标宋简体" w:hAnsi="宋体" w:eastAsia="方正小标宋简体"/>
          <w:bCs/>
          <w:sz w:val="44"/>
          <w:szCs w:val="44"/>
        </w:rPr>
        <w:t>（</w:t>
      </w:r>
      <w:r>
        <w:rPr>
          <w:rStyle w:val="26"/>
          <w:rFonts w:ascii="方正小标宋简体" w:hAnsi="宋体" w:eastAsia="方正小标宋简体"/>
          <w:bCs/>
          <w:sz w:val="44"/>
          <w:szCs w:val="44"/>
        </w:rPr>
        <w:t>2023</w:t>
      </w:r>
      <w:r>
        <w:rPr>
          <w:rStyle w:val="26"/>
          <w:rFonts w:hint="eastAsia" w:ascii="方正小标宋简体" w:hAnsi="宋体" w:eastAsia="方正小标宋简体"/>
          <w:bCs/>
          <w:sz w:val="44"/>
          <w:szCs w:val="44"/>
        </w:rPr>
        <w:t>年）</w:t>
      </w:r>
    </w:p>
    <w:p>
      <w:pPr>
        <w:spacing w:after="156" w:line="560" w:lineRule="exact"/>
        <w:jc w:val="center"/>
        <w:textAlignment w:val="baseline"/>
        <w:rPr>
          <w:rStyle w:val="26"/>
          <w:rFonts w:ascii="方正小标宋简体" w:hAnsi="宋体" w:eastAsia="方正小标宋简体"/>
          <w:bCs/>
          <w:sz w:val="44"/>
          <w:szCs w:val="44"/>
        </w:rPr>
      </w:pPr>
    </w:p>
    <w:p>
      <w:pPr>
        <w:snapToGrid w:val="0"/>
        <w:jc w:val="center"/>
        <w:textAlignment w:val="baseline"/>
        <w:rPr>
          <w:rStyle w:val="26"/>
          <w:rFonts w:ascii="Times New Roman" w:hAnsi="Times New Roman" w:eastAsia="宋体"/>
          <w:b/>
          <w:sz w:val="48"/>
          <w:szCs w:val="20"/>
        </w:rPr>
      </w:pPr>
    </w:p>
    <w:p>
      <w:pPr>
        <w:snapToGrid w:val="0"/>
        <w:jc w:val="center"/>
        <w:textAlignment w:val="baseline"/>
        <w:rPr>
          <w:rStyle w:val="26"/>
          <w:rFonts w:ascii="Times New Roman" w:hAnsi="Times New Roman" w:eastAsia="宋体"/>
          <w:b/>
          <w:sz w:val="48"/>
          <w:szCs w:val="20"/>
        </w:rPr>
      </w:pPr>
    </w:p>
    <w:p>
      <w:pPr>
        <w:snapToGrid w:val="0"/>
        <w:spacing w:line="300" w:lineRule="auto"/>
        <w:jc w:val="center"/>
        <w:textAlignment w:val="baseline"/>
        <w:rPr>
          <w:rStyle w:val="26"/>
          <w:rFonts w:ascii="Times New Roman" w:hAnsi="Times New Roman" w:eastAsia="宋体"/>
          <w:b/>
          <w:sz w:val="32"/>
          <w:szCs w:val="32"/>
        </w:rPr>
      </w:pPr>
    </w:p>
    <w:tbl>
      <w:tblPr>
        <w:tblStyle w:val="12"/>
        <w:tblW w:w="548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restart"/>
            <w:tcBorders>
              <w:top w:val="nil"/>
              <w:left w:val="nil"/>
            </w:tcBorders>
            <w:vAlign w:val="center"/>
          </w:tcPr>
          <w:p>
            <w:pPr>
              <w:keepNext w:val="0"/>
              <w:keepLines w:val="0"/>
              <w:suppressLineNumbers w:val="0"/>
              <w:snapToGrid w:val="0"/>
              <w:spacing w:before="0" w:beforeAutospacing="0" w:after="0" w:afterAutospacing="0" w:line="240" w:lineRule="atLeast"/>
              <w:ind w:left="0" w:right="0"/>
              <w:jc w:val="center"/>
              <w:textAlignment w:val="baseline"/>
              <w:rPr>
                <w:rStyle w:val="26"/>
                <w:rFonts w:hint="default" w:ascii="Times New Roman" w:hAnsi="Times New Roman" w:eastAsia="宋体"/>
                <w:b/>
                <w:spacing w:val="-10"/>
                <w:sz w:val="32"/>
                <w:szCs w:val="32"/>
              </w:rPr>
            </w:pPr>
            <w:r>
              <w:rPr>
                <w:rStyle w:val="26"/>
                <w:rFonts w:hint="eastAsia" w:ascii="Times New Roman" w:hAnsi="Times New Roman" w:eastAsia="宋体"/>
                <w:b/>
                <w:spacing w:val="-10"/>
                <w:sz w:val="32"/>
                <w:szCs w:val="32"/>
              </w:rPr>
              <w:t>学院</w:t>
            </w:r>
          </w:p>
          <w:p>
            <w:pPr>
              <w:keepNext w:val="0"/>
              <w:keepLines w:val="0"/>
              <w:suppressLineNumbers w:val="0"/>
              <w:snapToGrid w:val="0"/>
              <w:spacing w:before="0" w:beforeAutospacing="0" w:after="0" w:afterAutospacing="0" w:line="240" w:lineRule="atLeast"/>
              <w:ind w:left="0" w:right="0"/>
              <w:jc w:val="center"/>
              <w:textAlignment w:val="baseline"/>
              <w:rPr>
                <w:rStyle w:val="26"/>
                <w:rFonts w:hint="default" w:ascii="Times New Roman" w:hAnsi="Times New Roman" w:eastAsia="宋体"/>
                <w:b/>
                <w:spacing w:val="-10"/>
                <w:sz w:val="32"/>
                <w:szCs w:val="32"/>
              </w:rPr>
            </w:pPr>
            <w:r>
              <w:rPr>
                <w:rStyle w:val="26"/>
                <w:rFonts w:hint="eastAsia" w:ascii="Times New Roman" w:hAnsi="Times New Roman" w:eastAsia="宋体"/>
                <w:b/>
                <w:spacing w:val="-10"/>
                <w:sz w:val="32"/>
                <w:szCs w:val="32"/>
              </w:rPr>
              <w:t>（公章）</w:t>
            </w:r>
          </w:p>
        </w:tc>
        <w:tc>
          <w:tcPr>
            <w:tcW w:w="3977" w:type="dxa"/>
            <w:tcBorders>
              <w:top w:val="nil"/>
              <w:right w:val="nil"/>
            </w:tcBorders>
            <w:vAlign w:val="center"/>
          </w:tcPr>
          <w:p>
            <w:pPr>
              <w:keepNext w:val="0"/>
              <w:keepLines w:val="0"/>
              <w:suppressLineNumbers w:val="0"/>
              <w:snapToGrid w:val="0"/>
              <w:spacing w:before="0" w:beforeAutospacing="0" w:after="0" w:afterAutospacing="0" w:line="300" w:lineRule="auto"/>
              <w:ind w:left="0" w:right="0"/>
              <w:textAlignment w:val="baseline"/>
              <w:rPr>
                <w:rStyle w:val="26"/>
                <w:rFonts w:hint="default" w:ascii="Times New Roman" w:hAnsi="Times New Roman" w:eastAsia="宋体"/>
                <w:b/>
                <w:spacing w:val="-10"/>
                <w:sz w:val="32"/>
                <w:szCs w:val="32"/>
              </w:rPr>
            </w:pPr>
            <w:r>
              <w:rPr>
                <w:rStyle w:val="26"/>
                <w:rFonts w:hint="eastAsia" w:ascii="Times New Roman" w:hAnsi="Times New Roman" w:eastAsia="宋体"/>
                <w:b/>
                <w:spacing w:val="-10"/>
                <w:sz w:val="32"/>
                <w:szCs w:val="32"/>
              </w:rPr>
              <w:t>名称：工商管理</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left w:val="nil"/>
              <w:bottom w:val="nil"/>
            </w:tcBorders>
            <w:vAlign w:val="center"/>
          </w:tcPr>
          <w:p>
            <w:pPr>
              <w:keepNext w:val="0"/>
              <w:keepLines w:val="0"/>
              <w:suppressLineNumbers w:val="0"/>
              <w:snapToGrid w:val="0"/>
              <w:spacing w:before="0" w:beforeAutospacing="0" w:after="0" w:afterAutospacing="0" w:line="300" w:lineRule="auto"/>
              <w:ind w:left="0" w:right="0"/>
              <w:jc w:val="center"/>
              <w:textAlignment w:val="baseline"/>
              <w:rPr>
                <w:rStyle w:val="26"/>
                <w:rFonts w:hint="default" w:ascii="Times New Roman" w:hAnsi="Times New Roman" w:eastAsia="宋体"/>
                <w:b/>
                <w:spacing w:val="-10"/>
                <w:sz w:val="32"/>
                <w:szCs w:val="32"/>
              </w:rPr>
            </w:pPr>
          </w:p>
        </w:tc>
        <w:tc>
          <w:tcPr>
            <w:tcW w:w="3977" w:type="dxa"/>
            <w:tcBorders>
              <w:bottom w:val="nil"/>
              <w:right w:val="nil"/>
            </w:tcBorders>
            <w:vAlign w:val="center"/>
          </w:tcPr>
          <w:p>
            <w:pPr>
              <w:keepNext w:val="0"/>
              <w:keepLines w:val="0"/>
              <w:suppressLineNumbers w:val="0"/>
              <w:snapToGrid w:val="0"/>
              <w:spacing w:before="0" w:beforeAutospacing="0" w:after="0" w:afterAutospacing="0" w:line="300" w:lineRule="auto"/>
              <w:ind w:left="0" w:right="0"/>
              <w:textAlignment w:val="baseline"/>
              <w:rPr>
                <w:rStyle w:val="26"/>
                <w:rFonts w:hint="default" w:ascii="Times New Roman" w:hAnsi="Times New Roman"/>
                <w:b/>
                <w:spacing w:val="-10"/>
                <w:sz w:val="32"/>
                <w:szCs w:val="32"/>
              </w:rPr>
            </w:pPr>
            <w:r>
              <w:rPr>
                <w:rStyle w:val="26"/>
                <w:rFonts w:hint="eastAsia" w:ascii="Times New Roman" w:hAnsi="Times New Roman" w:eastAsia="宋体"/>
                <w:b/>
                <w:spacing w:val="-10"/>
                <w:sz w:val="32"/>
                <w:szCs w:val="32"/>
              </w:rPr>
              <w:t>代码：</w:t>
            </w:r>
            <w:r>
              <w:rPr>
                <w:rFonts w:hint="eastAsia" w:ascii="宋体" w:hAnsi="宋体"/>
                <w:color w:val="000000"/>
                <w:sz w:val="28"/>
              </w:rPr>
              <w:t>1202</w:t>
            </w:r>
          </w:p>
        </w:tc>
      </w:tr>
    </w:tbl>
    <w:p>
      <w:pPr>
        <w:snapToGrid w:val="0"/>
        <w:spacing w:line="300" w:lineRule="auto"/>
        <w:jc w:val="center"/>
        <w:textAlignment w:val="baseline"/>
        <w:rPr>
          <w:rStyle w:val="26"/>
          <w:rFonts w:ascii="Times New Roman" w:hAnsi="Times New Roman" w:eastAsia="宋体"/>
          <w:b/>
          <w:sz w:val="48"/>
          <w:szCs w:val="20"/>
        </w:rPr>
      </w:pPr>
    </w:p>
    <w:p>
      <w:pPr>
        <w:spacing w:line="560" w:lineRule="exact"/>
        <w:jc w:val="center"/>
        <w:textAlignment w:val="baseline"/>
        <w:rPr>
          <w:rStyle w:val="26"/>
          <w:rFonts w:ascii="Times New Roman" w:hAnsi="Times New Roman" w:eastAsia="楷体_GB2312"/>
          <w:b/>
          <w:sz w:val="30"/>
          <w:szCs w:val="30"/>
        </w:rPr>
      </w:pPr>
    </w:p>
    <w:p>
      <w:pPr>
        <w:pStyle w:val="27"/>
        <w:widowControl/>
        <w:rPr>
          <w:rStyle w:val="26"/>
          <w:rFonts w:ascii="黑体" w:hAnsi="黑体" w:eastAsia="黑体"/>
          <w:color w:val="auto"/>
          <w:sz w:val="32"/>
        </w:rPr>
      </w:pPr>
    </w:p>
    <w:p>
      <w:pPr>
        <w:spacing w:line="560" w:lineRule="exact"/>
        <w:jc w:val="center"/>
        <w:textAlignment w:val="baseline"/>
        <w:rPr>
          <w:rStyle w:val="26"/>
          <w:rFonts w:ascii="Times New Roman" w:hAnsi="Times New Roman" w:eastAsia="楷体_GB2312"/>
          <w:b/>
          <w:sz w:val="30"/>
          <w:szCs w:val="30"/>
        </w:rPr>
      </w:pPr>
    </w:p>
    <w:p>
      <w:pPr>
        <w:spacing w:line="560" w:lineRule="exact"/>
        <w:jc w:val="center"/>
        <w:textAlignment w:val="baseline"/>
        <w:rPr>
          <w:rStyle w:val="26"/>
          <w:rFonts w:ascii="黑体" w:hAnsi="黑体" w:eastAsia="黑体"/>
          <w:sz w:val="32"/>
          <w:szCs w:val="32"/>
        </w:rPr>
        <w:sectPr>
          <w:footerReference r:id="rId3" w:type="default"/>
          <w:pgSz w:w="11906" w:h="16838"/>
          <w:pgMar w:top="1440" w:right="1800" w:bottom="1440" w:left="1800" w:header="851" w:footer="992" w:gutter="0"/>
          <w:pgNumType w:start="1"/>
          <w:cols w:space="425" w:num="1"/>
          <w:docGrid w:type="lines" w:linePitch="312" w:charSpace="0"/>
        </w:sectPr>
      </w:pPr>
      <w:r>
        <w:rPr>
          <w:rStyle w:val="26"/>
          <w:rFonts w:ascii="Times New Roman" w:hAnsi="Times New Roman" w:eastAsia="楷体_GB2312"/>
          <w:b/>
          <w:sz w:val="32"/>
          <w:szCs w:val="32"/>
        </w:rPr>
        <w:t>2024</w:t>
      </w:r>
      <w:r>
        <w:rPr>
          <w:rStyle w:val="26"/>
          <w:rFonts w:hint="eastAsia" w:ascii="Times New Roman" w:hAnsi="Times New Roman" w:eastAsia="楷体_GB2312"/>
          <w:b/>
          <w:sz w:val="32"/>
          <w:szCs w:val="32"/>
        </w:rPr>
        <w:t>年1月1</w:t>
      </w:r>
      <w:r>
        <w:rPr>
          <w:rStyle w:val="26"/>
          <w:rFonts w:ascii="Times New Roman" w:hAnsi="Times New Roman" w:eastAsia="楷体_GB2312"/>
          <w:b/>
          <w:sz w:val="32"/>
          <w:szCs w:val="32"/>
        </w:rPr>
        <w:t>5</w:t>
      </w:r>
      <w:r>
        <w:rPr>
          <w:rStyle w:val="26"/>
          <w:rFonts w:hint="eastAsia" w:ascii="Times New Roman" w:hAnsi="Times New Roman" w:eastAsia="楷体_GB2312"/>
          <w:b/>
          <w:sz w:val="32"/>
          <w:szCs w:val="32"/>
        </w:rPr>
        <w:t>日</w:t>
      </w:r>
    </w:p>
    <w:p>
      <w:pPr>
        <w:widowControl/>
        <w:spacing w:line="560" w:lineRule="exact"/>
        <w:ind w:firstLine="643" w:firstLineChars="200"/>
        <w:textAlignment w:val="baseline"/>
        <w:rPr>
          <w:rStyle w:val="26"/>
          <w:rFonts w:ascii="仿宋_GB2312" w:eastAsia="仿宋_GB2312" w:cs="方正仿宋简体"/>
          <w:b/>
          <w:sz w:val="32"/>
          <w:szCs w:val="32"/>
        </w:rPr>
      </w:pPr>
      <w:r>
        <w:rPr>
          <w:rStyle w:val="26"/>
          <w:rFonts w:hint="eastAsia" w:ascii="仿宋_GB2312" w:hAnsi="黑体" w:eastAsia="仿宋_GB2312" w:cs="黑体"/>
          <w:b/>
          <w:sz w:val="32"/>
          <w:szCs w:val="32"/>
        </w:rPr>
        <w:t>一、总体概况</w:t>
      </w:r>
    </w:p>
    <w:p>
      <w:pPr>
        <w:pStyle w:val="3"/>
        <w:spacing w:line="560" w:lineRule="exact"/>
        <w:ind w:firstLine="643"/>
        <w:rPr>
          <w:rStyle w:val="26"/>
          <w:rFonts w:ascii="仿宋_GB2312" w:hAnsi="方正仿宋简体" w:eastAsia="仿宋_GB2312" w:cs="方正仿宋简体"/>
          <w:b/>
          <w:bCs/>
          <w:color w:val="auto"/>
          <w:sz w:val="32"/>
        </w:rPr>
      </w:pPr>
      <w:r>
        <w:rPr>
          <w:rStyle w:val="26"/>
          <w:rFonts w:hint="eastAsia" w:ascii="仿宋_GB2312" w:hAnsi="方正仿宋简体" w:eastAsia="仿宋_GB2312" w:cs="方正仿宋简体"/>
          <w:b/>
          <w:bCs/>
          <w:color w:val="auto"/>
          <w:sz w:val="32"/>
        </w:rPr>
        <w:t>（一）学位授权点基本情况</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ascii="仿宋_GB2312" w:hAnsi="方正仿宋简体" w:eastAsia="仿宋_GB2312" w:cs="方正仿宋简体"/>
          <w:color w:val="auto"/>
          <w:sz w:val="28"/>
          <w:szCs w:val="21"/>
        </w:rPr>
        <w:t>江西科技师范大学工商管理学科起源于旅游管理专业和会计学专业两个江西省品牌专业。2006年旅游管理专业获批二级学科硕士学位授权点，2008年旅游管理专业被批准为省级重点学科，2009年旅游管理专业成为国家第四批高等学校特色专业建设点。在多年专业建设和积累基础上，“工商管理”学科于2010年成功申报了一级学科硕士学位授权点，并在2011年评为江西省高校十二五示范性硕士点，2012年旅游管理（金牌导游）专业被江西省教育厅列入专业综合改革项目予以重点支持，并得到时任江西省副省长朱虹高度赞扬。2014年会计学专业被江西省教育厅列入专业综合改革项目予以重点支持。</w:t>
      </w:r>
      <w:r>
        <w:rPr>
          <w:rStyle w:val="26"/>
          <w:rFonts w:hint="eastAsia" w:ascii="仿宋_GB2312" w:hAnsi="方正仿宋简体" w:eastAsia="仿宋_GB2312" w:cs="方正仿宋简体"/>
          <w:color w:val="auto"/>
          <w:sz w:val="28"/>
          <w:szCs w:val="21"/>
        </w:rPr>
        <w:t>2021年</w:t>
      </w:r>
      <w:r>
        <w:rPr>
          <w:rStyle w:val="26"/>
          <w:rFonts w:ascii="仿宋_GB2312" w:hAnsi="方正仿宋简体" w:eastAsia="仿宋_GB2312" w:cs="方正仿宋简体"/>
          <w:color w:val="auto"/>
          <w:sz w:val="28"/>
          <w:szCs w:val="21"/>
        </w:rPr>
        <w:t>财务管理、旅游管理等</w:t>
      </w:r>
      <w:r>
        <w:rPr>
          <w:rStyle w:val="26"/>
          <w:rFonts w:hint="eastAsia" w:ascii="仿宋_GB2312" w:hAnsi="方正仿宋简体" w:eastAsia="仿宋_GB2312" w:cs="方正仿宋简体"/>
          <w:color w:val="auto"/>
          <w:sz w:val="28"/>
          <w:szCs w:val="21"/>
        </w:rPr>
        <w:t>2</w:t>
      </w:r>
      <w:r>
        <w:rPr>
          <w:rStyle w:val="26"/>
          <w:rFonts w:ascii="仿宋_GB2312" w:hAnsi="方正仿宋简体" w:eastAsia="仿宋_GB2312" w:cs="方正仿宋简体"/>
          <w:color w:val="auto"/>
          <w:sz w:val="28"/>
          <w:szCs w:val="21"/>
        </w:rPr>
        <w:t>个专业入选国家级一流本科专业建设点</w:t>
      </w:r>
      <w:r>
        <w:rPr>
          <w:rStyle w:val="26"/>
          <w:rFonts w:hint="eastAsia" w:ascii="仿宋_GB2312" w:hAnsi="方正仿宋简体" w:eastAsia="仿宋_GB2312" w:cs="方正仿宋简体"/>
          <w:color w:val="auto"/>
          <w:sz w:val="28"/>
          <w:szCs w:val="21"/>
        </w:rPr>
        <w:t>。</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ascii="仿宋_GB2312" w:hAnsi="方正仿宋简体" w:eastAsia="仿宋_GB2312" w:cs="方正仿宋简体"/>
          <w:color w:val="auto"/>
          <w:sz w:val="28"/>
          <w:szCs w:val="21"/>
        </w:rPr>
        <w:t>“工商管理”学科点经过近10年发展，以社会需求为导向，依托本学院特色，经过凝练逐步形成了“会计学”、“企业管理”、“旅游管理”和“技术经济及管理”四个二级学科点。2018年，响应学校学科方向精简的要求，重新组合成“会计学”“企业管理”“旅游管理”三个二级学科点。</w:t>
      </w:r>
    </w:p>
    <w:p>
      <w:pPr>
        <w:pStyle w:val="3"/>
        <w:spacing w:line="560" w:lineRule="exact"/>
        <w:ind w:firstLine="643"/>
        <w:rPr>
          <w:rStyle w:val="26"/>
          <w:rFonts w:ascii="仿宋_GB2312" w:hAnsi="方正仿宋简体" w:eastAsia="仿宋_GB2312" w:cs="方正仿宋简体"/>
          <w:b/>
          <w:bCs/>
          <w:color w:val="auto"/>
          <w:sz w:val="32"/>
          <w:szCs w:val="22"/>
        </w:rPr>
      </w:pPr>
      <w:r>
        <w:rPr>
          <w:rStyle w:val="26"/>
          <w:rFonts w:hint="eastAsia" w:ascii="仿宋_GB2312" w:hAnsi="方正仿宋简体" w:eastAsia="仿宋_GB2312" w:cs="方正仿宋简体"/>
          <w:b/>
          <w:bCs/>
          <w:color w:val="auto"/>
          <w:sz w:val="32"/>
          <w:szCs w:val="22"/>
        </w:rPr>
        <w:t>（二）学科建设情况</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hint="eastAsia" w:ascii="仿宋_GB2312" w:hAnsi="方正仿宋简体" w:eastAsia="仿宋_GB2312" w:cs="方正仿宋简体"/>
          <w:color w:val="auto"/>
          <w:sz w:val="28"/>
          <w:szCs w:val="21"/>
        </w:rPr>
        <w:t>2020年12月财务管理、旅游管理获批国家一流本科专业建设点，2</w:t>
      </w:r>
      <w:r>
        <w:rPr>
          <w:rStyle w:val="26"/>
          <w:rFonts w:ascii="仿宋_GB2312" w:hAnsi="方正仿宋简体" w:eastAsia="仿宋_GB2312" w:cs="方正仿宋简体"/>
          <w:color w:val="auto"/>
          <w:sz w:val="28"/>
          <w:szCs w:val="21"/>
        </w:rPr>
        <w:t>021</w:t>
      </w:r>
      <w:r>
        <w:rPr>
          <w:rStyle w:val="26"/>
          <w:rFonts w:hint="eastAsia" w:ascii="仿宋_GB2312" w:hAnsi="方正仿宋简体" w:eastAsia="仿宋_GB2312" w:cs="方正仿宋简体"/>
          <w:color w:val="auto"/>
          <w:sz w:val="28"/>
          <w:szCs w:val="21"/>
        </w:rPr>
        <w:t>年1</w:t>
      </w:r>
      <w:r>
        <w:rPr>
          <w:rStyle w:val="26"/>
          <w:rFonts w:ascii="仿宋_GB2312" w:hAnsi="方正仿宋简体" w:eastAsia="仿宋_GB2312" w:cs="方正仿宋简体"/>
          <w:color w:val="auto"/>
          <w:sz w:val="28"/>
          <w:szCs w:val="21"/>
        </w:rPr>
        <w:t>2</w:t>
      </w:r>
      <w:r>
        <w:rPr>
          <w:rStyle w:val="26"/>
          <w:rFonts w:hint="eastAsia" w:ascii="仿宋_GB2312" w:hAnsi="方正仿宋简体" w:eastAsia="仿宋_GB2312" w:cs="方正仿宋简体"/>
          <w:color w:val="auto"/>
          <w:sz w:val="28"/>
          <w:szCs w:val="21"/>
        </w:rPr>
        <w:t>月会计学获批国家一流本科建设点，旅游管理专业入选江西省“十四五”期间一流专业建设名单。</w:t>
      </w:r>
    </w:p>
    <w:p>
      <w:pPr>
        <w:pStyle w:val="30"/>
        <w:snapToGrid w:val="0"/>
        <w:spacing w:line="360" w:lineRule="auto"/>
        <w:ind w:firstLine="560"/>
        <w:rPr>
          <w:rFonts w:hint="eastAsia"/>
        </w:rPr>
      </w:pPr>
      <w:r>
        <w:rPr>
          <w:rFonts w:hint="eastAsia"/>
        </w:rPr>
        <w:t xml:space="preserve"> </w:t>
      </w:r>
      <w:r>
        <w:rPr>
          <w:rStyle w:val="26"/>
          <w:rFonts w:hint="eastAsia" w:ascii="仿宋_GB2312" w:hAnsi="方正仿宋简体" w:eastAsia="仿宋_GB2312" w:cs="方正仿宋简体"/>
          <w:color w:val="auto"/>
          <w:sz w:val="28"/>
          <w:szCs w:val="21"/>
        </w:rPr>
        <w:t>2023年本学科点获得国家级一流课程1项，荣获省教学成果二等奖、省优秀教材二等奖各 1 项、文旅部科研三等奖、江西省社会科学优秀成果奖三等奖；教师研究成果获批省长叶建春肯定性批示1项；江西省研究生优质课程和案例建设项目2项；</w:t>
      </w:r>
      <w:r>
        <w:rPr>
          <w:rStyle w:val="26"/>
          <w:rFonts w:hint="eastAsia" w:ascii="仿宋_GB2312" w:hAnsi="黑体" w:eastAsia="仿宋_GB2312" w:cs="黑体"/>
          <w:bCs/>
          <w:sz w:val="28"/>
          <w:szCs w:val="28"/>
        </w:rPr>
        <w:t>纵向课题1</w:t>
      </w:r>
      <w:r>
        <w:rPr>
          <w:rStyle w:val="26"/>
          <w:rFonts w:ascii="仿宋_GB2312" w:hAnsi="黑体" w:eastAsia="仿宋_GB2312" w:cs="黑体"/>
          <w:bCs/>
          <w:sz w:val="28"/>
          <w:szCs w:val="28"/>
        </w:rPr>
        <w:t>5项，经费51.05万元；</w:t>
      </w:r>
      <w:r>
        <w:rPr>
          <w:rStyle w:val="26"/>
          <w:rFonts w:hint="eastAsia" w:ascii="仿宋_GB2312" w:hAnsi="黑体" w:eastAsia="仿宋_GB2312" w:cs="黑体"/>
          <w:bCs/>
          <w:sz w:val="28"/>
          <w:szCs w:val="28"/>
        </w:rPr>
        <w:t>横向项目</w:t>
      </w:r>
      <w:r>
        <w:rPr>
          <w:rStyle w:val="26"/>
          <w:rFonts w:ascii="仿宋_GB2312" w:hAnsi="黑体" w:eastAsia="仿宋_GB2312" w:cs="黑体"/>
          <w:bCs/>
          <w:sz w:val="28"/>
          <w:szCs w:val="28"/>
        </w:rPr>
        <w:t>8</w:t>
      </w:r>
      <w:r>
        <w:rPr>
          <w:rStyle w:val="26"/>
          <w:rFonts w:hint="eastAsia" w:ascii="仿宋_GB2312" w:hAnsi="黑体" w:eastAsia="仿宋_GB2312" w:cs="黑体"/>
          <w:bCs/>
          <w:sz w:val="28"/>
          <w:szCs w:val="28"/>
        </w:rPr>
        <w:t>项，经费</w:t>
      </w:r>
      <w:r>
        <w:rPr>
          <w:rStyle w:val="26"/>
          <w:rFonts w:ascii="仿宋_GB2312" w:hAnsi="黑体" w:eastAsia="仿宋_GB2312" w:cs="黑体"/>
          <w:bCs/>
          <w:sz w:val="28"/>
          <w:szCs w:val="28"/>
        </w:rPr>
        <w:t>201.9</w:t>
      </w:r>
      <w:r>
        <w:rPr>
          <w:rStyle w:val="26"/>
          <w:rFonts w:hint="eastAsia" w:ascii="仿宋_GB2312" w:hAnsi="黑体" w:eastAsia="仿宋_GB2312" w:cs="黑体"/>
          <w:bCs/>
          <w:sz w:val="28"/>
          <w:szCs w:val="28"/>
        </w:rPr>
        <w:t>万元</w:t>
      </w:r>
      <w:r>
        <w:rPr>
          <w:rStyle w:val="26"/>
          <w:rFonts w:hint="eastAsia" w:ascii="仿宋_GB2312" w:eastAsia="仿宋_GB2312" w:cs="黑体"/>
          <w:bCs/>
          <w:sz w:val="28"/>
          <w:szCs w:val="28"/>
        </w:rPr>
        <w:t>；</w:t>
      </w:r>
      <w:r>
        <w:rPr>
          <w:rStyle w:val="26"/>
          <w:rFonts w:hint="eastAsia" w:ascii="仿宋_GB2312" w:hAnsi="黑体" w:eastAsia="仿宋_GB2312" w:cs="黑体"/>
          <w:bCs/>
          <w:sz w:val="28"/>
          <w:szCs w:val="28"/>
        </w:rPr>
        <w:t>代表性学术论文</w:t>
      </w:r>
      <w:r>
        <w:rPr>
          <w:rStyle w:val="26"/>
          <w:rFonts w:ascii="仿宋_GB2312" w:hAnsi="黑体" w:eastAsia="仿宋_GB2312" w:cs="黑体"/>
          <w:bCs/>
          <w:sz w:val="28"/>
          <w:szCs w:val="28"/>
        </w:rPr>
        <w:t>10</w:t>
      </w:r>
      <w:r>
        <w:rPr>
          <w:rStyle w:val="26"/>
          <w:rFonts w:hint="eastAsia" w:ascii="仿宋_GB2312" w:hAnsi="黑体" w:eastAsia="仿宋_GB2312" w:cs="黑体"/>
          <w:bCs/>
          <w:sz w:val="28"/>
          <w:szCs w:val="28"/>
        </w:rPr>
        <w:t>篇。其中，SCI论文</w:t>
      </w:r>
      <w:r>
        <w:rPr>
          <w:rStyle w:val="26"/>
          <w:rFonts w:ascii="仿宋_GB2312" w:hAnsi="黑体" w:eastAsia="仿宋_GB2312" w:cs="黑体"/>
          <w:bCs/>
          <w:sz w:val="28"/>
          <w:szCs w:val="28"/>
        </w:rPr>
        <w:t>2</w:t>
      </w:r>
      <w:r>
        <w:rPr>
          <w:rStyle w:val="26"/>
          <w:rFonts w:hint="eastAsia" w:ascii="仿宋_GB2312" w:hAnsi="黑体" w:eastAsia="仿宋_GB2312" w:cs="黑体"/>
          <w:bCs/>
          <w:sz w:val="28"/>
          <w:szCs w:val="28"/>
        </w:rPr>
        <w:t>篇，CSSCI论文</w:t>
      </w:r>
      <w:r>
        <w:rPr>
          <w:rStyle w:val="26"/>
          <w:rFonts w:ascii="仿宋_GB2312" w:hAnsi="黑体" w:eastAsia="仿宋_GB2312" w:cs="黑体"/>
          <w:bCs/>
          <w:sz w:val="28"/>
          <w:szCs w:val="28"/>
        </w:rPr>
        <w:t>1</w:t>
      </w:r>
      <w:r>
        <w:rPr>
          <w:rStyle w:val="26"/>
          <w:rFonts w:hint="eastAsia" w:ascii="仿宋_GB2312" w:hAnsi="黑体" w:eastAsia="仿宋_GB2312" w:cs="黑体"/>
          <w:bCs/>
          <w:sz w:val="28"/>
          <w:szCs w:val="28"/>
        </w:rPr>
        <w:t>篇，人大复印转载2篇，</w:t>
      </w:r>
      <w:r>
        <w:rPr>
          <w:rStyle w:val="26"/>
          <w:rFonts w:ascii="仿宋_GB2312" w:hAnsi="黑体" w:eastAsia="仿宋_GB2312" w:cs="黑体"/>
          <w:bCs/>
          <w:sz w:val="28"/>
          <w:szCs w:val="28"/>
        </w:rPr>
        <w:t>北大核心</w:t>
      </w:r>
      <w:r>
        <w:rPr>
          <w:rStyle w:val="26"/>
          <w:rFonts w:hint="eastAsia" w:ascii="仿宋_GB2312" w:hAnsi="黑体" w:eastAsia="仿宋_GB2312" w:cs="黑体"/>
          <w:bCs/>
          <w:sz w:val="28"/>
          <w:szCs w:val="28"/>
        </w:rPr>
        <w:t>5篇，专著1部。</w:t>
      </w:r>
    </w:p>
    <w:p>
      <w:pPr>
        <w:pStyle w:val="3"/>
        <w:spacing w:line="560" w:lineRule="exact"/>
        <w:ind w:firstLine="643"/>
        <w:rPr>
          <w:rStyle w:val="26"/>
          <w:rFonts w:ascii="仿宋_GB2312" w:hAnsi="方正仿宋简体" w:eastAsia="仿宋_GB2312" w:cs="方正仿宋简体"/>
          <w:b/>
          <w:bCs/>
          <w:color w:val="auto"/>
          <w:sz w:val="32"/>
          <w:szCs w:val="22"/>
        </w:rPr>
      </w:pPr>
      <w:r>
        <w:rPr>
          <w:rStyle w:val="26"/>
          <w:rFonts w:hint="eastAsia" w:ascii="仿宋_GB2312" w:hAnsi="方正仿宋简体" w:eastAsia="仿宋_GB2312" w:cs="方正仿宋简体"/>
          <w:b/>
          <w:bCs/>
          <w:color w:val="auto"/>
          <w:sz w:val="32"/>
          <w:szCs w:val="22"/>
        </w:rPr>
        <w:t>（三）研究生招生、在读、毕业、学位授予及就业基本状况</w:t>
      </w:r>
    </w:p>
    <w:p>
      <w:pPr>
        <w:pStyle w:val="6"/>
        <w:ind w:left="0" w:firstLine="560" w:firstLineChars="200"/>
        <w:rPr>
          <w:rStyle w:val="26"/>
          <w:rFonts w:ascii="仿宋_GB2312" w:hAnsi="方正仿宋简体" w:eastAsia="仿宋_GB2312" w:cs="方正仿宋简体"/>
          <w:color w:val="auto"/>
          <w:sz w:val="28"/>
          <w:szCs w:val="21"/>
          <w:lang w:bidi="ar-SA"/>
        </w:rPr>
      </w:pPr>
      <w:r>
        <w:rPr>
          <w:rStyle w:val="26"/>
          <w:rFonts w:hint="eastAsia" w:ascii="仿宋_GB2312" w:hAnsi="方正仿宋简体" w:eastAsia="仿宋_GB2312" w:cs="方正仿宋简体"/>
          <w:sz w:val="28"/>
          <w:szCs w:val="21"/>
          <w:lang w:bidi="ar-SA"/>
        </w:rPr>
        <w:t>202</w:t>
      </w:r>
      <w:r>
        <w:rPr>
          <w:rStyle w:val="26"/>
          <w:rFonts w:ascii="仿宋_GB2312" w:hAnsi="方正仿宋简体" w:eastAsia="仿宋_GB2312" w:cs="方正仿宋简体"/>
          <w:sz w:val="28"/>
          <w:szCs w:val="21"/>
          <w:lang w:bidi="ar-SA"/>
        </w:rPr>
        <w:t>3</w:t>
      </w:r>
      <w:r>
        <w:rPr>
          <w:rStyle w:val="26"/>
          <w:rFonts w:hint="eastAsia" w:ascii="仿宋_GB2312" w:hAnsi="方正仿宋简体" w:eastAsia="仿宋_GB2312" w:cs="方正仿宋简体"/>
          <w:sz w:val="28"/>
          <w:szCs w:val="21"/>
          <w:lang w:bidi="ar-SA"/>
        </w:rPr>
        <w:t>年本学科学术型研究生招生2人、</w:t>
      </w:r>
      <w:r>
        <w:rPr>
          <w:rStyle w:val="26"/>
          <w:rFonts w:hint="eastAsia" w:ascii="仿宋_GB2312" w:hAnsi="方正仿宋简体" w:eastAsia="仿宋_GB2312" w:cs="方正仿宋简体"/>
          <w:color w:val="auto"/>
          <w:sz w:val="28"/>
          <w:szCs w:val="21"/>
          <w:lang w:bidi="ar-SA"/>
        </w:rPr>
        <w:t>在读2</w:t>
      </w:r>
      <w:r>
        <w:rPr>
          <w:rStyle w:val="26"/>
          <w:rFonts w:hint="eastAsia" w:ascii="仿宋_GB2312" w:hAnsi="方正仿宋简体" w:eastAsia="仿宋_GB2312" w:cs="方正仿宋简体"/>
          <w:color w:val="auto"/>
          <w:sz w:val="28"/>
          <w:szCs w:val="21"/>
          <w:lang w:val="en-US" w:bidi="ar-SA"/>
        </w:rPr>
        <w:t>4</w:t>
      </w:r>
      <w:r>
        <w:rPr>
          <w:rStyle w:val="26"/>
          <w:rFonts w:hint="eastAsia" w:ascii="仿宋_GB2312" w:hAnsi="方正仿宋简体" w:eastAsia="仿宋_GB2312" w:cs="方正仿宋简体"/>
          <w:color w:val="auto"/>
          <w:sz w:val="28"/>
          <w:szCs w:val="21"/>
          <w:lang w:bidi="ar-SA"/>
        </w:rPr>
        <w:t>人、应毕业</w:t>
      </w:r>
      <w:r>
        <w:rPr>
          <w:rStyle w:val="26"/>
          <w:rFonts w:hint="eastAsia" w:ascii="仿宋_GB2312" w:hAnsi="方正仿宋简体" w:eastAsia="仿宋_GB2312" w:cs="方正仿宋简体"/>
          <w:color w:val="auto"/>
          <w:sz w:val="28"/>
          <w:szCs w:val="21"/>
          <w:lang w:val="en-US" w:bidi="ar-SA"/>
        </w:rPr>
        <w:t>11</w:t>
      </w:r>
      <w:r>
        <w:rPr>
          <w:rStyle w:val="26"/>
          <w:rFonts w:hint="eastAsia" w:ascii="仿宋_GB2312" w:hAnsi="方正仿宋简体" w:eastAsia="仿宋_GB2312" w:cs="方正仿宋简体"/>
          <w:color w:val="auto"/>
          <w:sz w:val="28"/>
          <w:szCs w:val="21"/>
          <w:lang w:bidi="ar-SA"/>
        </w:rPr>
        <w:t>人、实际毕业</w:t>
      </w:r>
      <w:r>
        <w:rPr>
          <w:rStyle w:val="26"/>
          <w:rFonts w:hint="eastAsia" w:ascii="仿宋_GB2312" w:hAnsi="方正仿宋简体" w:eastAsia="仿宋_GB2312" w:cs="方正仿宋简体"/>
          <w:color w:val="auto"/>
          <w:sz w:val="28"/>
          <w:szCs w:val="21"/>
          <w:lang w:val="en-US" w:bidi="ar-SA"/>
        </w:rPr>
        <w:t>11</w:t>
      </w:r>
      <w:r>
        <w:rPr>
          <w:rStyle w:val="26"/>
          <w:rFonts w:hint="eastAsia" w:ascii="仿宋_GB2312" w:hAnsi="方正仿宋简体" w:eastAsia="仿宋_GB2312" w:cs="方正仿宋简体"/>
          <w:color w:val="auto"/>
          <w:sz w:val="28"/>
          <w:szCs w:val="21"/>
          <w:lang w:bidi="ar-SA"/>
        </w:rPr>
        <w:t>人，学位授予</w:t>
      </w:r>
      <w:r>
        <w:rPr>
          <w:rStyle w:val="26"/>
          <w:rFonts w:hint="eastAsia" w:ascii="仿宋_GB2312" w:hAnsi="方正仿宋简体" w:eastAsia="仿宋_GB2312" w:cs="方正仿宋简体"/>
          <w:color w:val="auto"/>
          <w:sz w:val="28"/>
          <w:szCs w:val="21"/>
          <w:lang w:val="en-US" w:bidi="ar-SA"/>
        </w:rPr>
        <w:t>11</w:t>
      </w:r>
      <w:r>
        <w:rPr>
          <w:rStyle w:val="26"/>
          <w:rFonts w:hint="eastAsia" w:ascii="仿宋_GB2312" w:hAnsi="方正仿宋简体" w:eastAsia="仿宋_GB2312" w:cs="方正仿宋简体"/>
          <w:color w:val="auto"/>
          <w:sz w:val="28"/>
          <w:szCs w:val="21"/>
          <w:lang w:bidi="ar-SA"/>
        </w:rPr>
        <w:t>人，就业</w:t>
      </w:r>
      <w:r>
        <w:rPr>
          <w:rStyle w:val="26"/>
          <w:rFonts w:hint="eastAsia" w:ascii="仿宋_GB2312" w:hAnsi="方正仿宋简体" w:eastAsia="仿宋_GB2312" w:cs="方正仿宋简体"/>
          <w:color w:val="auto"/>
          <w:sz w:val="28"/>
          <w:szCs w:val="21"/>
          <w:lang w:val="en-US" w:bidi="ar-SA"/>
        </w:rPr>
        <w:t>率</w:t>
      </w:r>
      <w:r>
        <w:rPr>
          <w:rStyle w:val="26"/>
          <w:rFonts w:hint="eastAsia" w:ascii="仿宋_GB2312" w:hAnsi="方正仿宋简体" w:eastAsia="仿宋_GB2312" w:cs="方正仿宋简体"/>
          <w:color w:val="auto"/>
          <w:sz w:val="28"/>
          <w:szCs w:val="21"/>
          <w:lang w:bidi="ar-SA"/>
        </w:rPr>
        <w:t>100%</w:t>
      </w:r>
      <w:r>
        <w:rPr>
          <w:rStyle w:val="26"/>
          <w:rFonts w:hint="eastAsia" w:ascii="仿宋_GB2312" w:hAnsi="方正仿宋简体" w:eastAsia="仿宋_GB2312" w:cs="方正仿宋简体"/>
          <w:color w:val="auto"/>
          <w:sz w:val="28"/>
          <w:szCs w:val="21"/>
          <w:highlight w:val="none"/>
          <w:lang w:bidi="ar-SA"/>
        </w:rPr>
        <w:t>。</w:t>
      </w:r>
      <w:r>
        <w:rPr>
          <w:rStyle w:val="26"/>
          <w:rFonts w:hint="eastAsia" w:ascii="仿宋_GB2312" w:hAnsi="方正仿宋简体" w:eastAsia="仿宋_GB2312" w:cs="方正仿宋简体"/>
          <w:color w:val="auto"/>
          <w:sz w:val="28"/>
          <w:szCs w:val="21"/>
          <w:highlight w:val="none"/>
          <w:lang w:val="en-US" w:bidi="ar-SA"/>
        </w:rPr>
        <w:t>均</w:t>
      </w:r>
      <w:r>
        <w:rPr>
          <w:rStyle w:val="26"/>
          <w:rFonts w:hint="eastAsia" w:ascii="仿宋_GB2312" w:hAnsi="方正仿宋简体" w:eastAsia="仿宋_GB2312" w:cs="方正仿宋简体"/>
          <w:color w:val="auto"/>
          <w:sz w:val="28"/>
          <w:szCs w:val="21"/>
          <w:highlight w:val="none"/>
          <w:lang w:bidi="ar-SA"/>
        </w:rPr>
        <w:t>就业</w:t>
      </w:r>
      <w:r>
        <w:rPr>
          <w:rStyle w:val="26"/>
          <w:rFonts w:hint="eastAsia" w:ascii="仿宋_GB2312" w:hAnsi="方正仿宋简体" w:eastAsia="仿宋_GB2312" w:cs="方正仿宋简体"/>
          <w:color w:val="auto"/>
          <w:sz w:val="28"/>
          <w:szCs w:val="21"/>
          <w:highlight w:val="none"/>
          <w:lang w:val="en-US" w:bidi="ar-SA"/>
        </w:rPr>
        <w:t>于</w:t>
      </w:r>
      <w:r>
        <w:rPr>
          <w:rStyle w:val="26"/>
          <w:rFonts w:hint="eastAsia" w:ascii="仿宋_GB2312" w:hAnsi="方正仿宋简体" w:eastAsia="仿宋_GB2312" w:cs="方正仿宋简体"/>
          <w:color w:val="auto"/>
          <w:sz w:val="28"/>
          <w:szCs w:val="21"/>
          <w:highlight w:val="none"/>
          <w:lang w:bidi="ar-SA"/>
        </w:rPr>
        <w:t>事业单位、民办高校和企业。</w:t>
      </w:r>
    </w:p>
    <w:p>
      <w:pPr>
        <w:pStyle w:val="6"/>
        <w:ind w:left="0" w:firstLine="643" w:firstLineChars="200"/>
        <w:rPr>
          <w:rStyle w:val="26"/>
          <w:rFonts w:ascii="仿宋_GB2312" w:hAnsi="方正仿宋简体" w:eastAsia="仿宋_GB2312" w:cs="方正仿宋简体"/>
          <w:b/>
          <w:bCs/>
          <w:sz w:val="32"/>
          <w:szCs w:val="22"/>
          <w:lang w:bidi="ar-SA"/>
        </w:rPr>
      </w:pPr>
      <w:r>
        <w:rPr>
          <w:rStyle w:val="26"/>
          <w:rFonts w:hint="eastAsia" w:ascii="仿宋_GB2312" w:hAnsi="方正仿宋简体" w:eastAsia="仿宋_GB2312" w:cs="方正仿宋简体"/>
          <w:b/>
          <w:bCs/>
          <w:sz w:val="32"/>
          <w:szCs w:val="22"/>
          <w:lang w:bidi="ar-SA"/>
        </w:rPr>
        <w:t>（四）研究生导师状况（总体规模、队伍结构）等</w:t>
      </w:r>
    </w:p>
    <w:p>
      <w:pPr>
        <w:pStyle w:val="3"/>
        <w:spacing w:line="560" w:lineRule="exact"/>
        <w:ind w:firstLine="56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sz w:val="28"/>
          <w:szCs w:val="21"/>
        </w:rPr>
        <w:t>本学科点共有专任教师3</w:t>
      </w:r>
      <w:r>
        <w:rPr>
          <w:rStyle w:val="26"/>
          <w:rFonts w:ascii="仿宋_GB2312" w:hAnsi="方正仿宋简体" w:eastAsia="仿宋_GB2312" w:cs="方正仿宋简体"/>
          <w:sz w:val="28"/>
          <w:szCs w:val="21"/>
        </w:rPr>
        <w:t>5</w:t>
      </w:r>
      <w:r>
        <w:rPr>
          <w:rStyle w:val="26"/>
          <w:rFonts w:hint="eastAsia" w:ascii="仿宋_GB2312" w:hAnsi="方正仿宋简体" w:eastAsia="仿宋_GB2312" w:cs="方正仿宋简体"/>
          <w:sz w:val="28"/>
          <w:szCs w:val="21"/>
        </w:rPr>
        <w:t>名，硕导2</w:t>
      </w:r>
      <w:r>
        <w:rPr>
          <w:rStyle w:val="26"/>
          <w:rFonts w:ascii="仿宋_GB2312" w:hAnsi="方正仿宋简体" w:eastAsia="仿宋_GB2312" w:cs="方正仿宋简体"/>
          <w:sz w:val="28"/>
          <w:szCs w:val="21"/>
        </w:rPr>
        <w:t>8人，</w:t>
      </w:r>
      <w:r>
        <w:rPr>
          <w:rStyle w:val="26"/>
          <w:rFonts w:hint="eastAsia" w:ascii="仿宋_GB2312" w:hAnsi="方正仿宋简体" w:eastAsia="仿宋_GB2312" w:cs="方正仿宋简体"/>
          <w:sz w:val="28"/>
          <w:szCs w:val="21"/>
        </w:rPr>
        <w:t>其中教授1</w:t>
      </w:r>
      <w:r>
        <w:rPr>
          <w:rStyle w:val="26"/>
          <w:rFonts w:ascii="仿宋_GB2312" w:hAnsi="方正仿宋简体" w:eastAsia="仿宋_GB2312" w:cs="方正仿宋简体"/>
          <w:sz w:val="28"/>
          <w:szCs w:val="21"/>
        </w:rPr>
        <w:t>1</w:t>
      </w:r>
      <w:r>
        <w:rPr>
          <w:rStyle w:val="26"/>
          <w:rFonts w:hint="eastAsia" w:ascii="仿宋_GB2312" w:hAnsi="方正仿宋简体" w:eastAsia="仿宋_GB2312" w:cs="方正仿宋简体"/>
          <w:sz w:val="28"/>
          <w:szCs w:val="21"/>
        </w:rPr>
        <w:t>名，副教授1</w:t>
      </w:r>
      <w:r>
        <w:rPr>
          <w:rStyle w:val="26"/>
          <w:rFonts w:ascii="仿宋_GB2312" w:hAnsi="方正仿宋简体" w:eastAsia="仿宋_GB2312" w:cs="方正仿宋简体"/>
          <w:sz w:val="28"/>
          <w:szCs w:val="21"/>
        </w:rPr>
        <w:t>8</w:t>
      </w:r>
      <w:r>
        <w:rPr>
          <w:rStyle w:val="26"/>
          <w:rFonts w:hint="eastAsia" w:ascii="仿宋_GB2312" w:hAnsi="方正仿宋简体" w:eastAsia="仿宋_GB2312" w:cs="方正仿宋简体"/>
          <w:sz w:val="28"/>
          <w:szCs w:val="21"/>
        </w:rPr>
        <w:t>名，具有高级职称比例占8</w:t>
      </w:r>
      <w:r>
        <w:rPr>
          <w:rStyle w:val="26"/>
          <w:rFonts w:ascii="仿宋_GB2312" w:hAnsi="方正仿宋简体" w:eastAsia="仿宋_GB2312" w:cs="方正仿宋简体"/>
          <w:sz w:val="28"/>
          <w:szCs w:val="21"/>
        </w:rPr>
        <w:t>3</w:t>
      </w:r>
      <w:r>
        <w:rPr>
          <w:rStyle w:val="26"/>
          <w:rFonts w:hint="eastAsia" w:ascii="仿宋_GB2312" w:hAnsi="方正仿宋简体" w:eastAsia="仿宋_GB2312" w:cs="方正仿宋简体"/>
          <w:sz w:val="28"/>
          <w:szCs w:val="21"/>
        </w:rPr>
        <w:t>%以上，博士1</w:t>
      </w:r>
      <w:r>
        <w:rPr>
          <w:rStyle w:val="26"/>
          <w:rFonts w:ascii="仿宋_GB2312" w:hAnsi="方正仿宋简体" w:eastAsia="仿宋_GB2312" w:cs="方正仿宋简体"/>
          <w:sz w:val="28"/>
          <w:szCs w:val="21"/>
        </w:rPr>
        <w:t>9</w:t>
      </w:r>
      <w:r>
        <w:rPr>
          <w:rStyle w:val="26"/>
          <w:rFonts w:hint="eastAsia" w:ascii="仿宋_GB2312" w:hAnsi="方正仿宋简体" w:eastAsia="仿宋_GB2312" w:cs="方正仿宋简体"/>
          <w:sz w:val="28"/>
          <w:szCs w:val="21"/>
        </w:rPr>
        <w:t>名，占总人数5</w:t>
      </w:r>
      <w:r>
        <w:rPr>
          <w:rStyle w:val="26"/>
          <w:rFonts w:ascii="仿宋_GB2312" w:hAnsi="方正仿宋简体" w:eastAsia="仿宋_GB2312" w:cs="方正仿宋简体"/>
          <w:sz w:val="28"/>
          <w:szCs w:val="21"/>
        </w:rPr>
        <w:t>4</w:t>
      </w:r>
      <w:r>
        <w:rPr>
          <w:rStyle w:val="26"/>
          <w:rFonts w:hint="eastAsia" w:ascii="仿宋_GB2312" w:hAnsi="方正仿宋简体" w:eastAsia="仿宋_GB2312" w:cs="方正仿宋简体"/>
          <w:sz w:val="28"/>
          <w:szCs w:val="21"/>
        </w:rPr>
        <w:t>%；5</w:t>
      </w:r>
      <w:r>
        <w:rPr>
          <w:rStyle w:val="26"/>
          <w:rFonts w:ascii="仿宋_GB2312" w:hAnsi="方正仿宋简体" w:eastAsia="仿宋_GB2312" w:cs="方正仿宋简体"/>
          <w:sz w:val="28"/>
          <w:szCs w:val="21"/>
        </w:rPr>
        <w:t>0</w:t>
      </w:r>
      <w:r>
        <w:rPr>
          <w:rStyle w:val="26"/>
          <w:rFonts w:hint="eastAsia" w:ascii="仿宋_GB2312" w:hAnsi="方正仿宋简体" w:eastAsia="仿宋_GB2312" w:cs="方正仿宋简体"/>
          <w:sz w:val="28"/>
          <w:szCs w:val="21"/>
        </w:rPr>
        <w:t>岁以下22人，占总人数6</w:t>
      </w:r>
      <w:r>
        <w:rPr>
          <w:rStyle w:val="26"/>
          <w:rFonts w:ascii="仿宋_GB2312" w:hAnsi="方正仿宋简体" w:eastAsia="仿宋_GB2312" w:cs="方正仿宋简体"/>
          <w:sz w:val="28"/>
          <w:szCs w:val="21"/>
        </w:rPr>
        <w:t>8.6</w:t>
      </w:r>
      <w:r>
        <w:rPr>
          <w:rStyle w:val="26"/>
          <w:rFonts w:hint="eastAsia" w:ascii="仿宋_GB2312" w:hAnsi="方正仿宋简体" w:eastAsia="仿宋_GB2312" w:cs="方正仿宋简体"/>
          <w:sz w:val="28"/>
          <w:szCs w:val="21"/>
        </w:rPr>
        <w:t>%；具有海外专任教师8人，占总人数2</w:t>
      </w:r>
      <w:r>
        <w:rPr>
          <w:rStyle w:val="26"/>
          <w:rFonts w:ascii="仿宋_GB2312" w:hAnsi="方正仿宋简体" w:eastAsia="仿宋_GB2312" w:cs="方正仿宋简体"/>
          <w:sz w:val="28"/>
          <w:szCs w:val="21"/>
        </w:rPr>
        <w:t>2.8%，</w:t>
      </w:r>
      <w:r>
        <w:rPr>
          <w:rStyle w:val="26"/>
          <w:rFonts w:hint="eastAsia" w:ascii="仿宋_GB2312" w:hAnsi="方正仿宋简体" w:eastAsia="仿宋_GB2312" w:cs="方正仿宋简体"/>
          <w:sz w:val="28"/>
          <w:szCs w:val="21"/>
        </w:rPr>
        <w:t>获得外单位硕士以上学位占97%以上，职称结构、学历结构、年龄结构和学缘结构合理，学术梯队具有可持续发展能力。</w:t>
      </w:r>
    </w:p>
    <w:p>
      <w:pPr>
        <w:pStyle w:val="3"/>
        <w:spacing w:line="560" w:lineRule="exact"/>
        <w:ind w:firstLine="643"/>
        <w:rPr>
          <w:rStyle w:val="26"/>
          <w:rFonts w:ascii="仿宋_GB2312" w:hAnsi="方正仿宋简体" w:eastAsia="仿宋_GB2312" w:cs="方正仿宋简体"/>
          <w:b/>
          <w:bCs/>
          <w:color w:val="auto"/>
          <w:sz w:val="32"/>
          <w:szCs w:val="22"/>
        </w:rPr>
      </w:pPr>
      <w:r>
        <w:rPr>
          <w:rStyle w:val="26"/>
          <w:rFonts w:hint="eastAsia" w:ascii="仿宋_GB2312" w:hAnsi="方正仿宋简体" w:eastAsia="仿宋_GB2312" w:cs="方正仿宋简体"/>
          <w:b/>
          <w:bCs/>
          <w:color w:val="auto"/>
          <w:sz w:val="32"/>
          <w:szCs w:val="22"/>
        </w:rPr>
        <w:t>二、研究生党建与思想政治教育工作</w:t>
      </w:r>
    </w:p>
    <w:p>
      <w:pPr>
        <w:pStyle w:val="3"/>
        <w:spacing w:line="560" w:lineRule="exact"/>
        <w:ind w:firstLine="643"/>
        <w:rPr>
          <w:rStyle w:val="26"/>
          <w:rFonts w:ascii="仿宋_GB2312" w:hAnsi="方正仿宋简体" w:eastAsia="仿宋_GB2312" w:cs="方正仿宋简体"/>
          <w:b/>
          <w:bCs/>
          <w:color w:val="auto"/>
          <w:sz w:val="32"/>
          <w:szCs w:val="22"/>
        </w:rPr>
      </w:pPr>
      <w:r>
        <w:rPr>
          <w:rStyle w:val="26"/>
          <w:rFonts w:hint="eastAsia" w:ascii="仿宋_GB2312" w:hAnsi="方正仿宋简体" w:eastAsia="仿宋_GB2312" w:cs="方正仿宋简体"/>
          <w:b/>
          <w:bCs/>
          <w:color w:val="auto"/>
          <w:sz w:val="32"/>
          <w:szCs w:val="22"/>
        </w:rPr>
        <w:t>（一）思想政治教育队伍建设</w:t>
      </w:r>
    </w:p>
    <w:p>
      <w:pPr>
        <w:pStyle w:val="3"/>
        <w:spacing w:line="360" w:lineRule="auto"/>
        <w:ind w:firstLine="560"/>
        <w:rPr>
          <w:rStyle w:val="26"/>
          <w:rFonts w:ascii="仿宋_GB2312" w:hAnsi="方正仿宋简体" w:eastAsia="仿宋_GB2312" w:cs="方正仿宋简体"/>
          <w:color w:val="auto"/>
          <w:sz w:val="28"/>
          <w:szCs w:val="21"/>
        </w:rPr>
      </w:pPr>
      <w:r>
        <w:rPr>
          <w:rStyle w:val="26"/>
          <w:rFonts w:ascii="仿宋_GB2312" w:hAnsi="方正仿宋简体" w:eastAsia="仿宋_GB2312" w:cs="方正仿宋简体"/>
          <w:color w:val="auto"/>
          <w:sz w:val="28"/>
          <w:szCs w:val="21"/>
        </w:rPr>
        <w:t>不断加强党委对思想政治工作的领导。每年至少召开两次院级党委会</w:t>
      </w:r>
      <w:r>
        <w:rPr>
          <w:rStyle w:val="26"/>
          <w:rFonts w:hint="eastAsia" w:ascii="仿宋_GB2312" w:hAnsi="方正仿宋简体" w:eastAsia="仿宋_GB2312" w:cs="方正仿宋简体"/>
          <w:color w:val="auto"/>
          <w:sz w:val="28"/>
          <w:szCs w:val="21"/>
        </w:rPr>
        <w:t>，</w:t>
      </w:r>
      <w:r>
        <w:rPr>
          <w:rStyle w:val="26"/>
          <w:rFonts w:ascii="仿宋_GB2312" w:hAnsi="方正仿宋简体" w:eastAsia="仿宋_GB2312" w:cs="方正仿宋简体"/>
          <w:color w:val="auto"/>
          <w:sz w:val="28"/>
          <w:szCs w:val="21"/>
        </w:rPr>
        <w:t>专题研究学科思想政治工作</w:t>
      </w:r>
      <w:r>
        <w:rPr>
          <w:rStyle w:val="26"/>
          <w:rFonts w:hint="eastAsia" w:ascii="仿宋_GB2312" w:hAnsi="方正仿宋简体" w:eastAsia="仿宋_GB2312" w:cs="方正仿宋简体"/>
          <w:color w:val="auto"/>
          <w:sz w:val="28"/>
          <w:szCs w:val="21"/>
        </w:rPr>
        <w:t>，同时还专设了</w:t>
      </w:r>
      <w:r>
        <w:rPr>
          <w:rStyle w:val="26"/>
          <w:rFonts w:ascii="仿宋_GB2312" w:hAnsi="方正仿宋简体" w:eastAsia="仿宋_GB2312" w:cs="方正仿宋简体"/>
          <w:color w:val="auto"/>
          <w:sz w:val="28"/>
          <w:szCs w:val="21"/>
        </w:rPr>
        <w:t>师德师风建设领导小组、大学生思想政治工作领导小组和思想政治理论课建设领导小组。</w:t>
      </w:r>
    </w:p>
    <w:p>
      <w:pPr>
        <w:pStyle w:val="3"/>
        <w:spacing w:line="360" w:lineRule="auto"/>
        <w:ind w:firstLine="560"/>
      </w:pPr>
      <w:r>
        <w:rPr>
          <w:rStyle w:val="26"/>
          <w:rFonts w:hint="eastAsia" w:ascii="仿宋_GB2312" w:hAnsi="方正仿宋简体" w:eastAsia="仿宋_GB2312" w:cs="方正仿宋简体"/>
          <w:color w:val="auto"/>
          <w:sz w:val="28"/>
          <w:szCs w:val="21"/>
        </w:rPr>
        <w:t>本学科授予点始终坚持社会主义办学方向，将思政教育贯穿课程教育全过程，在教育教学过程中，全面把握工商管理特点，实现思政教育、心理教育、职业规划、道德教育和专业素养提升同频共振，全力打造“三全育人”格局，实现师生共同发展、共同成长。</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ascii="仿宋_GB2312" w:hAnsi="方正仿宋简体" w:eastAsia="仿宋_GB2312" w:cs="方正仿宋简体"/>
          <w:color w:val="auto"/>
          <w:sz w:val="28"/>
          <w:szCs w:val="21"/>
        </w:rPr>
        <w:t>在选拔二级学科带头人时，以政治立场和思想政治审查过硬为第一要着，二级学科带头人程月明副教授兼任学院教工党支部书记。</w:t>
      </w:r>
      <w:r>
        <w:rPr>
          <w:rStyle w:val="26"/>
          <w:rFonts w:hint="eastAsia" w:ascii="仿宋_GB2312" w:hAnsi="方正仿宋简体" w:eastAsia="仿宋_GB2312" w:cs="方正仿宋简体"/>
          <w:color w:val="auto"/>
          <w:sz w:val="28"/>
          <w:szCs w:val="21"/>
        </w:rPr>
        <w:t>2023年下半年研究生日常管理工作由研究生院下放到学院，学院选任谭望博士为研究生班级班主任，负责研究生日常思想政治教育工作，同时组建了学院研究生党支部，由旅游管理学科负责人刘传喜博士担任支部书记，负责专门思想政治教育工作。除了构建以班主任和支部书记为主的专职思想政治教育队伍外，还构建以导师、任课教师为主的课程思政教育队伍体系，形成了全员、全过程、全方位育人体系。</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ascii="仿宋_GB2312" w:hAnsi="方正仿宋简体" w:eastAsia="仿宋_GB2312" w:cs="方正仿宋简体"/>
          <w:color w:val="auto"/>
          <w:sz w:val="28"/>
          <w:szCs w:val="21"/>
        </w:rPr>
        <w:t>构建了五位一体的</w:t>
      </w:r>
      <w:r>
        <w:rPr>
          <w:rStyle w:val="26"/>
          <w:rFonts w:hint="eastAsia" w:ascii="仿宋_GB2312" w:hAnsi="方正仿宋简体" w:eastAsia="仿宋_GB2312" w:cs="方正仿宋简体"/>
          <w:color w:val="auto"/>
          <w:sz w:val="28"/>
          <w:szCs w:val="21"/>
        </w:rPr>
        <w:t>思想政治教育队伍建设</w:t>
      </w:r>
      <w:r>
        <w:rPr>
          <w:rStyle w:val="26"/>
          <w:rFonts w:ascii="仿宋_GB2312" w:hAnsi="方正仿宋简体" w:eastAsia="仿宋_GB2312" w:cs="方正仿宋简体"/>
          <w:color w:val="auto"/>
          <w:sz w:val="28"/>
          <w:szCs w:val="21"/>
        </w:rPr>
        <w:t>思路，完善新时代师德建设长效机制，推进学科师德师风建设工作常态化。首先，出台了</w:t>
      </w:r>
      <w:r>
        <w:rPr>
          <w:rStyle w:val="26"/>
          <w:rFonts w:hint="eastAsia" w:ascii="仿宋_GB2312" w:hAnsi="方正仿宋简体" w:eastAsia="仿宋_GB2312" w:cs="方正仿宋简体"/>
          <w:color w:val="auto"/>
          <w:sz w:val="28"/>
          <w:szCs w:val="21"/>
        </w:rPr>
        <w:t>“教师文明用语、忌语”</w:t>
      </w:r>
      <w:r>
        <w:rPr>
          <w:rStyle w:val="26"/>
          <w:rFonts w:ascii="仿宋_GB2312" w:hAnsi="方正仿宋简体" w:eastAsia="仿宋_GB2312" w:cs="方正仿宋简体"/>
          <w:color w:val="auto"/>
          <w:sz w:val="28"/>
          <w:szCs w:val="21"/>
        </w:rPr>
        <w:t>等有关规定，赋予了师德教育新内涵，使广大教师教有准绳；其次，以老带新</w:t>
      </w:r>
      <w:r>
        <w:rPr>
          <w:rStyle w:val="26"/>
          <w:rFonts w:hint="eastAsia" w:ascii="仿宋_GB2312" w:hAnsi="方正仿宋简体" w:eastAsia="仿宋_GB2312" w:cs="方正仿宋简体"/>
          <w:color w:val="auto"/>
          <w:sz w:val="28"/>
          <w:szCs w:val="21"/>
        </w:rPr>
        <w:t>，</w:t>
      </w:r>
      <w:r>
        <w:rPr>
          <w:rStyle w:val="26"/>
          <w:rFonts w:ascii="仿宋_GB2312" w:hAnsi="方正仿宋简体" w:eastAsia="仿宋_GB2312" w:cs="方正仿宋简体"/>
          <w:color w:val="auto"/>
          <w:sz w:val="28"/>
          <w:szCs w:val="21"/>
        </w:rPr>
        <w:t>让有经验的教师与青年教师结对子，促使新教师尽快熟悉教育教学常规，站稳讲台，胜任工作。本学科给青年教师引路子、搭台子，树立青年教师做好工作的信心，业务水平和职业道德水平也得到了迅速的提高。现在，青年教师不仅担当起了教学主要任务，成为学科教育教学工作的生力军，而且继承和发扬了老教师爱生如子的优良传统，以及爱岗敬业、无私奉献的精神。如</w:t>
      </w:r>
      <w:r>
        <w:rPr>
          <w:rStyle w:val="26"/>
          <w:rFonts w:hint="eastAsia" w:ascii="仿宋_GB2312" w:hAnsi="方正仿宋简体" w:eastAsia="仿宋_GB2312" w:cs="方正仿宋简体"/>
          <w:color w:val="auto"/>
          <w:sz w:val="28"/>
          <w:szCs w:val="21"/>
        </w:rPr>
        <w:t>何剑波、黄颖、林瑛等</w:t>
      </w:r>
      <w:r>
        <w:rPr>
          <w:rStyle w:val="26"/>
          <w:rFonts w:ascii="仿宋_GB2312" w:hAnsi="方正仿宋简体" w:eastAsia="仿宋_GB2312" w:cs="方正仿宋简体"/>
          <w:color w:val="auto"/>
          <w:sz w:val="28"/>
          <w:szCs w:val="21"/>
        </w:rPr>
        <w:t>教师连续多年获得教学质量评价优秀，</w:t>
      </w:r>
      <w:r>
        <w:rPr>
          <w:rStyle w:val="26"/>
          <w:rFonts w:hint="eastAsia" w:ascii="仿宋_GB2312" w:hAnsi="方正仿宋简体" w:eastAsia="仿宋_GB2312" w:cs="方正仿宋简体"/>
          <w:color w:val="auto"/>
          <w:sz w:val="28"/>
          <w:szCs w:val="21"/>
        </w:rPr>
        <w:t>2</w:t>
      </w:r>
      <w:r>
        <w:rPr>
          <w:rStyle w:val="26"/>
          <w:rFonts w:ascii="仿宋_GB2312" w:hAnsi="方正仿宋简体" w:eastAsia="仿宋_GB2312" w:cs="方正仿宋简体"/>
          <w:color w:val="auto"/>
          <w:sz w:val="28"/>
          <w:szCs w:val="21"/>
        </w:rPr>
        <w:t>023年曾颢老师获得科研育人、左璇老师获得课程育人、黄颖老师获得实践育人。</w:t>
      </w:r>
    </w:p>
    <w:p>
      <w:pPr>
        <w:pStyle w:val="3"/>
        <w:spacing w:line="560" w:lineRule="exact"/>
        <w:ind w:firstLine="643"/>
        <w:rPr>
          <w:rStyle w:val="26"/>
          <w:rFonts w:ascii="仿宋_GB2312" w:hAnsi="方正仿宋简体" w:eastAsia="仿宋_GB2312" w:cs="方正仿宋简体"/>
          <w:b/>
          <w:bCs/>
          <w:color w:val="auto"/>
          <w:sz w:val="32"/>
          <w:szCs w:val="22"/>
        </w:rPr>
      </w:pPr>
      <w:r>
        <w:rPr>
          <w:rStyle w:val="26"/>
          <w:rFonts w:hint="eastAsia" w:ascii="仿宋_GB2312" w:hAnsi="方正仿宋简体" w:eastAsia="仿宋_GB2312" w:cs="方正仿宋简体"/>
          <w:b/>
          <w:bCs/>
          <w:color w:val="auto"/>
          <w:sz w:val="32"/>
          <w:szCs w:val="22"/>
        </w:rPr>
        <w:t>（二）理想信念和社会主义核心价值观教育</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ascii="仿宋_GB2312" w:hAnsi="方正仿宋简体" w:eastAsia="仿宋_GB2312" w:cs="方正仿宋简体"/>
          <w:color w:val="auto"/>
          <w:sz w:val="28"/>
          <w:szCs w:val="21"/>
        </w:rPr>
        <w:t>坚持习近平新时代中国特色社会主义思想为指导，践行</w:t>
      </w:r>
      <w:r>
        <w:rPr>
          <w:rStyle w:val="26"/>
          <w:rFonts w:hint="eastAsia" w:ascii="仿宋_GB2312" w:hAnsi="方正仿宋简体" w:eastAsia="仿宋_GB2312" w:cs="方正仿宋简体"/>
          <w:color w:val="auto"/>
          <w:sz w:val="28"/>
          <w:szCs w:val="21"/>
        </w:rPr>
        <w:t>“</w:t>
      </w:r>
      <w:r>
        <w:rPr>
          <w:rStyle w:val="26"/>
          <w:rFonts w:ascii="仿宋_GB2312" w:hAnsi="方正仿宋简体" w:eastAsia="仿宋_GB2312" w:cs="方正仿宋简体"/>
          <w:color w:val="auto"/>
          <w:sz w:val="28"/>
          <w:szCs w:val="21"/>
        </w:rPr>
        <w:t>为党育人，为国育才</w:t>
      </w:r>
      <w:r>
        <w:rPr>
          <w:rStyle w:val="26"/>
          <w:rFonts w:hint="eastAsia" w:ascii="仿宋_GB2312" w:hAnsi="方正仿宋简体" w:eastAsia="仿宋_GB2312" w:cs="方正仿宋简体"/>
          <w:color w:val="auto"/>
          <w:sz w:val="28"/>
          <w:szCs w:val="21"/>
        </w:rPr>
        <w:t>”</w:t>
      </w:r>
      <w:r>
        <w:rPr>
          <w:rStyle w:val="26"/>
          <w:rFonts w:ascii="仿宋_GB2312" w:hAnsi="方正仿宋简体" w:eastAsia="仿宋_GB2312" w:cs="方正仿宋简体"/>
          <w:color w:val="auto"/>
          <w:sz w:val="28"/>
          <w:szCs w:val="21"/>
        </w:rPr>
        <w:t>的初心使命，坚持社会主义办学方向、立德树人的根本任务，深入贯彻全国高校思想政治工作会议精神，积极推进全员全过程全方位育人，不断加强</w:t>
      </w:r>
      <w:r>
        <w:rPr>
          <w:rStyle w:val="26"/>
          <w:rFonts w:hint="eastAsia" w:ascii="仿宋_GB2312" w:hAnsi="方正仿宋简体" w:eastAsia="仿宋_GB2312" w:cs="方正仿宋简体"/>
          <w:color w:val="auto"/>
          <w:sz w:val="28"/>
          <w:szCs w:val="21"/>
        </w:rPr>
        <w:t>学生理想信念和社会主义核心价值观教育</w:t>
      </w:r>
      <w:r>
        <w:rPr>
          <w:rStyle w:val="26"/>
          <w:rFonts w:ascii="仿宋_GB2312" w:hAnsi="方正仿宋简体" w:eastAsia="仿宋_GB2312" w:cs="方正仿宋简体"/>
          <w:color w:val="auto"/>
          <w:sz w:val="28"/>
          <w:szCs w:val="21"/>
        </w:rPr>
        <w:t>。</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hint="eastAsia" w:ascii="仿宋_GB2312" w:hAnsi="方正仿宋简体" w:eastAsia="仿宋_GB2312" w:cs="方正仿宋简体"/>
          <w:color w:val="auto"/>
          <w:sz w:val="28"/>
          <w:szCs w:val="21"/>
        </w:rPr>
        <w:t xml:space="preserve"> 1.</w:t>
      </w:r>
      <w:r>
        <w:rPr>
          <w:rStyle w:val="26"/>
          <w:rFonts w:ascii="仿宋_GB2312" w:hAnsi="方正仿宋简体" w:eastAsia="仿宋_GB2312" w:cs="方正仿宋简体"/>
          <w:color w:val="auto"/>
          <w:sz w:val="28"/>
          <w:szCs w:val="21"/>
        </w:rPr>
        <w:t>注重</w:t>
      </w:r>
      <w:r>
        <w:rPr>
          <w:rStyle w:val="26"/>
          <w:rFonts w:hint="eastAsia" w:ascii="仿宋_GB2312" w:hAnsi="方正仿宋简体" w:eastAsia="仿宋_GB2312" w:cs="方正仿宋简体"/>
          <w:color w:val="auto"/>
          <w:sz w:val="28"/>
          <w:szCs w:val="21"/>
        </w:rPr>
        <w:t>“</w:t>
      </w:r>
      <w:r>
        <w:rPr>
          <w:rStyle w:val="26"/>
          <w:rFonts w:ascii="仿宋_GB2312" w:hAnsi="方正仿宋简体" w:eastAsia="仿宋_GB2312" w:cs="方正仿宋简体"/>
          <w:color w:val="auto"/>
          <w:sz w:val="28"/>
          <w:szCs w:val="21"/>
        </w:rPr>
        <w:t>两拓</w:t>
      </w:r>
      <w:r>
        <w:rPr>
          <w:rStyle w:val="26"/>
          <w:rFonts w:hint="eastAsia" w:ascii="仿宋_GB2312" w:hAnsi="方正仿宋简体" w:eastAsia="仿宋_GB2312" w:cs="方正仿宋简体"/>
          <w:color w:val="auto"/>
          <w:sz w:val="28"/>
          <w:szCs w:val="21"/>
        </w:rPr>
        <w:t>”</w:t>
      </w:r>
      <w:r>
        <w:rPr>
          <w:rStyle w:val="26"/>
          <w:rFonts w:ascii="仿宋_GB2312" w:hAnsi="方正仿宋简体" w:eastAsia="仿宋_GB2312" w:cs="方正仿宋简体"/>
          <w:color w:val="auto"/>
          <w:sz w:val="28"/>
          <w:szCs w:val="21"/>
        </w:rPr>
        <w:t>，提升思想政治工作的针对性</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ascii="仿宋_GB2312" w:hAnsi="方正仿宋简体" w:eastAsia="仿宋_GB2312" w:cs="方正仿宋简体"/>
          <w:color w:val="auto"/>
          <w:sz w:val="28"/>
          <w:szCs w:val="21"/>
        </w:rPr>
        <w:t>一是推动思政课程到课程思政的拓展。出台课程思政改革方案，挖掘了学科蕴含的育人元素、德育资源，</w:t>
      </w:r>
      <w:r>
        <w:rPr>
          <w:rStyle w:val="26"/>
          <w:rFonts w:hint="eastAsia" w:ascii="仿宋_GB2312" w:hAnsi="方正仿宋简体" w:eastAsia="仿宋_GB2312" w:cs="方正仿宋简体"/>
          <w:color w:val="auto"/>
          <w:sz w:val="28"/>
          <w:szCs w:val="21"/>
        </w:rPr>
        <w:t>学科点教师前往莲花县进行江西红色文化课程研发的考察活动，</w:t>
      </w:r>
      <w:r>
        <w:rPr>
          <w:rStyle w:val="26"/>
          <w:rFonts w:ascii="仿宋_GB2312" w:hAnsi="方正仿宋简体" w:eastAsia="仿宋_GB2312" w:cs="方正仿宋简体"/>
          <w:color w:val="auto"/>
          <w:sz w:val="28"/>
          <w:szCs w:val="21"/>
        </w:rPr>
        <w:t>使各类课程与思想政治理论课同向同行，形成协同效应</w:t>
      </w:r>
      <w:r>
        <w:rPr>
          <w:rStyle w:val="26"/>
          <w:rFonts w:hint="eastAsia" w:ascii="仿宋_GB2312" w:hAnsi="方正仿宋简体" w:eastAsia="仿宋_GB2312" w:cs="方正仿宋简体"/>
          <w:color w:val="auto"/>
          <w:sz w:val="28"/>
          <w:szCs w:val="21"/>
        </w:rPr>
        <w:t>。</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ascii="仿宋_GB2312" w:hAnsi="方正仿宋简体" w:eastAsia="仿宋_GB2312" w:cs="方正仿宋简体"/>
          <w:color w:val="auto"/>
          <w:sz w:val="28"/>
          <w:szCs w:val="21"/>
        </w:rPr>
        <w:t>二是思政课第一课堂到第二课堂的拓展。</w:t>
      </w:r>
      <w:r>
        <w:rPr>
          <w:rStyle w:val="26"/>
          <w:rFonts w:hint="eastAsia" w:ascii="仿宋_GB2312" w:hAnsi="方正仿宋简体" w:eastAsia="仿宋_GB2312" w:cs="方正仿宋简体"/>
          <w:color w:val="auto"/>
          <w:sz w:val="28"/>
          <w:szCs w:val="21"/>
        </w:rPr>
        <w:t>开展系列红色文化活动，推动红色文化教育走深走实。依托信息化赋能红色文化资源，按照学校要求开展“网上重走长征路”“红色景点云游”等活动，以“红色班级”“红色寝室”建设为平台，将学校特色、专业特色与红色文化教育融为一体，实现人人参与红色文化活动，人人受到红色文化教育，树立标杆，辐射全面，激发学生爱国情、报国志、强国行。</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hint="eastAsia" w:ascii="仿宋_GB2312" w:hAnsi="方正仿宋简体" w:eastAsia="仿宋_GB2312" w:cs="方正仿宋简体"/>
          <w:color w:val="auto"/>
          <w:sz w:val="28"/>
          <w:szCs w:val="21"/>
        </w:rPr>
        <w:t>2.</w:t>
      </w:r>
      <w:r>
        <w:rPr>
          <w:rStyle w:val="26"/>
          <w:rFonts w:ascii="仿宋_GB2312" w:hAnsi="方正仿宋简体" w:eastAsia="仿宋_GB2312" w:cs="方正仿宋简体"/>
          <w:color w:val="auto"/>
          <w:sz w:val="28"/>
          <w:szCs w:val="21"/>
        </w:rPr>
        <w:t>突出</w:t>
      </w:r>
      <w:r>
        <w:rPr>
          <w:rStyle w:val="26"/>
          <w:rFonts w:hint="eastAsia" w:ascii="仿宋_GB2312" w:hAnsi="方正仿宋简体" w:eastAsia="仿宋_GB2312" w:cs="方正仿宋简体"/>
          <w:color w:val="auto"/>
          <w:sz w:val="28"/>
          <w:szCs w:val="21"/>
        </w:rPr>
        <w:t>“三化”</w:t>
      </w:r>
      <w:r>
        <w:rPr>
          <w:rStyle w:val="26"/>
          <w:rFonts w:ascii="仿宋_GB2312" w:hAnsi="方正仿宋简体" w:eastAsia="仿宋_GB2312" w:cs="方正仿宋简体"/>
          <w:color w:val="auto"/>
          <w:sz w:val="28"/>
          <w:szCs w:val="21"/>
        </w:rPr>
        <w:t>，提升思想政治工作的有效性</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ascii="仿宋_GB2312" w:hAnsi="方正仿宋简体" w:eastAsia="仿宋_GB2312" w:cs="方正仿宋简体"/>
          <w:color w:val="auto"/>
          <w:sz w:val="28"/>
          <w:szCs w:val="21"/>
        </w:rPr>
        <w:t>一是突出特色化，让思想政治工作有深度，切实加强党的政治建设，大胆将依托大智移云的</w:t>
      </w:r>
      <w:r>
        <w:rPr>
          <w:rStyle w:val="26"/>
          <w:rFonts w:hint="eastAsia" w:ascii="仿宋_GB2312" w:hAnsi="方正仿宋简体" w:eastAsia="仿宋_GB2312" w:cs="方正仿宋简体"/>
          <w:color w:val="auto"/>
          <w:sz w:val="28"/>
          <w:szCs w:val="21"/>
        </w:rPr>
        <w:t>“</w:t>
      </w:r>
      <w:r>
        <w:rPr>
          <w:rStyle w:val="26"/>
          <w:rFonts w:ascii="仿宋_GB2312" w:hAnsi="方正仿宋简体" w:eastAsia="仿宋_GB2312" w:cs="方正仿宋简体"/>
          <w:color w:val="auto"/>
          <w:sz w:val="28"/>
          <w:szCs w:val="21"/>
        </w:rPr>
        <w:t>雨课堂</w:t>
      </w:r>
      <w:r>
        <w:rPr>
          <w:rStyle w:val="26"/>
          <w:rFonts w:hint="eastAsia" w:ascii="仿宋_GB2312" w:hAnsi="方正仿宋简体" w:eastAsia="仿宋_GB2312" w:cs="方正仿宋简体"/>
          <w:color w:val="auto"/>
          <w:sz w:val="28"/>
          <w:szCs w:val="21"/>
        </w:rPr>
        <w:t>”“学习通”</w:t>
      </w:r>
      <w:r>
        <w:rPr>
          <w:rStyle w:val="26"/>
          <w:rFonts w:ascii="仿宋_GB2312" w:hAnsi="方正仿宋简体" w:eastAsia="仿宋_GB2312" w:cs="方正仿宋简体"/>
          <w:color w:val="auto"/>
          <w:sz w:val="28"/>
          <w:szCs w:val="21"/>
        </w:rPr>
        <w:t>全面引入党课系统，改变党课</w:t>
      </w:r>
      <w:r>
        <w:rPr>
          <w:rStyle w:val="26"/>
          <w:rFonts w:hint="eastAsia" w:ascii="仿宋_GB2312" w:hAnsi="方正仿宋简体" w:eastAsia="仿宋_GB2312" w:cs="方正仿宋简体"/>
          <w:color w:val="auto"/>
          <w:sz w:val="28"/>
          <w:szCs w:val="21"/>
        </w:rPr>
        <w:t>“</w:t>
      </w:r>
      <w:r>
        <w:rPr>
          <w:rStyle w:val="26"/>
          <w:rFonts w:ascii="仿宋_GB2312" w:hAnsi="方正仿宋简体" w:eastAsia="仿宋_GB2312" w:cs="方正仿宋简体"/>
          <w:color w:val="auto"/>
          <w:sz w:val="28"/>
          <w:szCs w:val="21"/>
        </w:rPr>
        <w:t>死板沉闷</w:t>
      </w:r>
      <w:r>
        <w:rPr>
          <w:rStyle w:val="26"/>
          <w:rFonts w:hint="eastAsia" w:ascii="仿宋_GB2312" w:hAnsi="方正仿宋简体" w:eastAsia="仿宋_GB2312" w:cs="方正仿宋简体"/>
          <w:color w:val="auto"/>
          <w:sz w:val="28"/>
          <w:szCs w:val="21"/>
        </w:rPr>
        <w:t>”</w:t>
      </w:r>
      <w:r>
        <w:rPr>
          <w:rStyle w:val="26"/>
          <w:rFonts w:ascii="仿宋_GB2312" w:hAnsi="方正仿宋简体" w:eastAsia="仿宋_GB2312" w:cs="方正仿宋简体"/>
          <w:color w:val="auto"/>
          <w:sz w:val="28"/>
          <w:szCs w:val="21"/>
        </w:rPr>
        <w:t>的固有印象，实现了教育技术前沿融合，极大地提高了教育效果，深受师生欢迎。</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ascii="仿宋_GB2312" w:hAnsi="方正仿宋简体" w:eastAsia="仿宋_GB2312" w:cs="方正仿宋简体"/>
          <w:color w:val="auto"/>
          <w:sz w:val="28"/>
          <w:szCs w:val="21"/>
        </w:rPr>
        <w:t>二是突出系统化，让思想政治工作有热度，开展</w:t>
      </w:r>
      <w:r>
        <w:rPr>
          <w:rStyle w:val="26"/>
          <w:rFonts w:hint="eastAsia" w:ascii="仿宋_GB2312" w:hAnsi="方正仿宋简体" w:eastAsia="仿宋_GB2312" w:cs="方正仿宋简体"/>
          <w:color w:val="auto"/>
          <w:sz w:val="28"/>
          <w:szCs w:val="21"/>
        </w:rPr>
        <w:t>“</w:t>
      </w:r>
      <w:r>
        <w:rPr>
          <w:rStyle w:val="26"/>
          <w:rFonts w:ascii="仿宋_GB2312" w:hAnsi="方正仿宋简体" w:eastAsia="仿宋_GB2312" w:cs="方正仿宋简体"/>
          <w:color w:val="auto"/>
          <w:sz w:val="28"/>
          <w:szCs w:val="21"/>
        </w:rPr>
        <w:t>永远跟党走，共筑中国梦</w:t>
      </w:r>
      <w:r>
        <w:rPr>
          <w:rStyle w:val="26"/>
          <w:rFonts w:hint="eastAsia" w:ascii="仿宋_GB2312" w:hAnsi="方正仿宋简体" w:eastAsia="仿宋_GB2312" w:cs="方正仿宋简体"/>
          <w:color w:val="auto"/>
          <w:sz w:val="28"/>
          <w:szCs w:val="21"/>
        </w:rPr>
        <w:t>”</w:t>
      </w:r>
      <w:r>
        <w:rPr>
          <w:rStyle w:val="26"/>
          <w:rFonts w:ascii="仿宋_GB2312" w:hAnsi="方正仿宋简体" w:eastAsia="仿宋_GB2312" w:cs="方正仿宋简体"/>
          <w:color w:val="auto"/>
          <w:sz w:val="28"/>
          <w:szCs w:val="21"/>
        </w:rPr>
        <w:t>系列教育活动</w:t>
      </w:r>
      <w:r>
        <w:rPr>
          <w:rStyle w:val="26"/>
          <w:rFonts w:hint="eastAsia" w:ascii="仿宋_GB2312" w:hAnsi="方正仿宋简体" w:eastAsia="仿宋_GB2312" w:cs="方正仿宋简体"/>
          <w:color w:val="auto"/>
          <w:sz w:val="28"/>
          <w:szCs w:val="21"/>
        </w:rPr>
        <w:t>。弘扬中华优秀传统文化，全面汇聚向上向善文明力量。通过举办经典诵读会、主题征文等活动，组织学生阅读、诵读中华经典著作，深入挖掘中华优秀传统文化中蕴含的丰富思想政治教育资源和现代价值；发挥榜样示范作用。深入挖掘“身边的榜样”，展示学生勤俭节约、诚实守信、自立自强等事迹，选树可亲、可敬、可学的身边榜样；开展“践行文明、从我做起”主题教育活动，倡导文明新风，扎实推动文明和谐校园建设。</w:t>
      </w:r>
    </w:p>
    <w:p>
      <w:pPr>
        <w:pStyle w:val="3"/>
        <w:spacing w:line="560" w:lineRule="exact"/>
        <w:ind w:firstLine="560"/>
      </w:pPr>
      <w:r>
        <w:rPr>
          <w:rStyle w:val="26"/>
          <w:rFonts w:ascii="仿宋_GB2312" w:hAnsi="方正仿宋简体" w:eastAsia="仿宋_GB2312" w:cs="方正仿宋简体"/>
          <w:color w:val="auto"/>
          <w:sz w:val="28"/>
          <w:szCs w:val="21"/>
        </w:rPr>
        <w:t>三是突出典型化，让思想政治工作有力度，学校扎实开展</w:t>
      </w:r>
      <w:r>
        <w:rPr>
          <w:rStyle w:val="26"/>
          <w:rFonts w:hint="eastAsia" w:ascii="仿宋_GB2312" w:hAnsi="方正仿宋简体" w:eastAsia="仿宋_GB2312" w:cs="方正仿宋简体"/>
          <w:color w:val="auto"/>
          <w:sz w:val="28"/>
          <w:szCs w:val="21"/>
        </w:rPr>
        <w:t>“</w:t>
      </w:r>
      <w:r>
        <w:rPr>
          <w:rStyle w:val="26"/>
          <w:rFonts w:ascii="仿宋_GB2312" w:hAnsi="方正仿宋简体" w:eastAsia="仿宋_GB2312" w:cs="方正仿宋简体"/>
          <w:color w:val="auto"/>
          <w:sz w:val="28"/>
          <w:szCs w:val="21"/>
        </w:rPr>
        <w:t>师德</w:t>
      </w:r>
      <w:r>
        <w:rPr>
          <w:rStyle w:val="26"/>
          <w:rFonts w:hint="eastAsia" w:ascii="仿宋_GB2312" w:hAnsi="方正仿宋简体" w:eastAsia="仿宋_GB2312" w:cs="方正仿宋简体"/>
          <w:color w:val="auto"/>
          <w:sz w:val="28"/>
          <w:szCs w:val="21"/>
        </w:rPr>
        <w:t>师风”</w:t>
      </w:r>
      <w:r>
        <w:rPr>
          <w:rStyle w:val="26"/>
          <w:rFonts w:ascii="仿宋_GB2312" w:hAnsi="方正仿宋简体" w:eastAsia="仿宋_GB2312" w:cs="方正仿宋简体"/>
          <w:color w:val="auto"/>
          <w:sz w:val="28"/>
          <w:szCs w:val="21"/>
        </w:rPr>
        <w:t>、</w:t>
      </w:r>
      <w:r>
        <w:rPr>
          <w:rStyle w:val="26"/>
          <w:rFonts w:hint="eastAsia" w:ascii="仿宋_GB2312" w:hAnsi="方正仿宋简体" w:eastAsia="仿宋_GB2312" w:cs="方正仿宋简体"/>
          <w:color w:val="auto"/>
          <w:sz w:val="28"/>
          <w:szCs w:val="21"/>
        </w:rPr>
        <w:t>“十育人”“</w:t>
      </w:r>
      <w:r>
        <w:rPr>
          <w:rStyle w:val="26"/>
          <w:rFonts w:ascii="仿宋_GB2312" w:hAnsi="方正仿宋简体" w:eastAsia="仿宋_GB2312" w:cs="方正仿宋简体"/>
          <w:color w:val="auto"/>
          <w:sz w:val="28"/>
          <w:szCs w:val="21"/>
        </w:rPr>
        <w:t>巾帼标兵</w:t>
      </w:r>
      <w:r>
        <w:rPr>
          <w:rStyle w:val="26"/>
          <w:rFonts w:hint="eastAsia" w:ascii="仿宋_GB2312" w:hAnsi="方正仿宋简体" w:eastAsia="仿宋_GB2312" w:cs="方正仿宋简体"/>
          <w:color w:val="auto"/>
          <w:sz w:val="28"/>
          <w:szCs w:val="21"/>
        </w:rPr>
        <w:t>”</w:t>
      </w:r>
      <w:r>
        <w:rPr>
          <w:rStyle w:val="26"/>
          <w:rFonts w:ascii="仿宋_GB2312" w:hAnsi="方正仿宋简体" w:eastAsia="仿宋_GB2312" w:cs="方正仿宋简体"/>
          <w:color w:val="auto"/>
          <w:sz w:val="28"/>
          <w:szCs w:val="21"/>
        </w:rPr>
        <w:t xml:space="preserve"> 等评选活动，汲取榜样力量。</w:t>
      </w:r>
      <w:r>
        <w:rPr>
          <w:rStyle w:val="26"/>
          <w:rFonts w:hint="eastAsia" w:ascii="仿宋_GB2312" w:hAnsi="方正仿宋简体" w:eastAsia="仿宋_GB2312" w:cs="方正仿宋简体"/>
          <w:sz w:val="28"/>
          <w:szCs w:val="21"/>
        </w:rPr>
        <w:t>组织教师学习《新时代高校教师职业行为十项准则》、《教育部公开曝光第十三批7起违反教师职业行为十项准则典型案例》、《江西省教育厅公布五起违反师德师风典型案例》等法律法规和政策。</w:t>
      </w:r>
      <w:r>
        <w:rPr>
          <w:rStyle w:val="26"/>
          <w:rFonts w:hint="eastAsia" w:ascii="仿宋_GB2312" w:hAnsi="方正仿宋简体" w:eastAsia="仿宋_GB2312" w:cs="方正仿宋简体"/>
          <w:color w:val="FF0000"/>
          <w:sz w:val="28"/>
          <w:szCs w:val="21"/>
        </w:rPr>
        <w:t xml:space="preserve"> </w:t>
      </w:r>
    </w:p>
    <w:p>
      <w:pPr>
        <w:pStyle w:val="3"/>
        <w:spacing w:line="560" w:lineRule="exact"/>
        <w:ind w:firstLine="643"/>
        <w:rPr>
          <w:rStyle w:val="26"/>
          <w:rFonts w:ascii="仿宋_GB2312" w:hAnsi="方正仿宋简体" w:eastAsia="仿宋_GB2312" w:cs="方正仿宋简体"/>
          <w:b/>
          <w:bCs/>
          <w:color w:val="auto"/>
          <w:sz w:val="32"/>
          <w:szCs w:val="22"/>
        </w:rPr>
      </w:pPr>
      <w:r>
        <w:rPr>
          <w:rStyle w:val="26"/>
          <w:rFonts w:hint="eastAsia" w:ascii="仿宋_GB2312" w:hAnsi="方正仿宋简体" w:eastAsia="仿宋_GB2312" w:cs="方正仿宋简体"/>
          <w:b/>
          <w:bCs/>
          <w:color w:val="auto"/>
          <w:sz w:val="32"/>
          <w:szCs w:val="22"/>
        </w:rPr>
        <w:t>（三）学位点文化建设</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ascii="仿宋_GB2312" w:hAnsi="方正仿宋简体" w:eastAsia="仿宋_GB2312" w:cs="方正仿宋简体"/>
          <w:color w:val="auto"/>
          <w:sz w:val="28"/>
          <w:szCs w:val="21"/>
        </w:rPr>
        <w:t>本学位点</w:t>
      </w:r>
      <w:r>
        <w:rPr>
          <w:rStyle w:val="26"/>
          <w:rFonts w:hint="eastAsia" w:ascii="仿宋_GB2312" w:hAnsi="方正仿宋简体" w:eastAsia="仿宋_GB2312" w:cs="方正仿宋简体"/>
          <w:color w:val="auto"/>
          <w:sz w:val="28"/>
          <w:szCs w:val="21"/>
        </w:rPr>
        <w:t>高度重视</w:t>
      </w:r>
      <w:r>
        <w:rPr>
          <w:rStyle w:val="26"/>
          <w:rFonts w:ascii="仿宋_GB2312" w:hAnsi="方正仿宋简体" w:eastAsia="仿宋_GB2312" w:cs="方正仿宋简体"/>
          <w:color w:val="auto"/>
          <w:sz w:val="28"/>
          <w:szCs w:val="21"/>
        </w:rPr>
        <w:t>对研究生</w:t>
      </w:r>
      <w:r>
        <w:rPr>
          <w:rStyle w:val="26"/>
          <w:rFonts w:hint="eastAsia" w:ascii="仿宋_GB2312" w:hAnsi="方正仿宋简体" w:eastAsia="仿宋_GB2312" w:cs="方正仿宋简体"/>
          <w:color w:val="auto"/>
          <w:sz w:val="28"/>
          <w:szCs w:val="21"/>
        </w:rPr>
        <w:t>的学风教育。为了深化研究生的学生道德意识，已经建立了严格的学术惩戒处罚措施。对违反学术道德的行为，一经查实，学校将相应进行处理、处罚：取消资格、学位、称号等。除了</w:t>
      </w:r>
      <w:r>
        <w:rPr>
          <w:rStyle w:val="26"/>
          <w:rFonts w:ascii="仿宋_GB2312" w:hAnsi="方正仿宋简体" w:eastAsia="仿宋_GB2312" w:cs="方正仿宋简体"/>
          <w:color w:val="auto"/>
          <w:sz w:val="28"/>
          <w:szCs w:val="21"/>
        </w:rPr>
        <w:t>制定和完善《</w:t>
      </w:r>
      <w:r>
        <w:rPr>
          <w:rStyle w:val="26"/>
          <w:rFonts w:hint="eastAsia" w:ascii="仿宋_GB2312" w:hAnsi="方正仿宋简体" w:eastAsia="仿宋_GB2312" w:cs="方正仿宋简体"/>
          <w:color w:val="auto"/>
          <w:sz w:val="28"/>
          <w:szCs w:val="21"/>
        </w:rPr>
        <w:t>江西科技师范大学学位论文作假行为处理办法实施细则</w:t>
      </w:r>
      <w:r>
        <w:rPr>
          <w:rStyle w:val="26"/>
          <w:rFonts w:ascii="仿宋_GB2312" w:hAnsi="方正仿宋简体" w:eastAsia="仿宋_GB2312" w:cs="方正仿宋简体"/>
          <w:color w:val="auto"/>
          <w:sz w:val="28"/>
          <w:szCs w:val="21"/>
        </w:rPr>
        <w:t>》等相关制度</w:t>
      </w:r>
      <w:r>
        <w:rPr>
          <w:rStyle w:val="26"/>
          <w:rFonts w:hint="eastAsia" w:ascii="仿宋_GB2312" w:hAnsi="方正仿宋简体" w:eastAsia="仿宋_GB2312" w:cs="方正仿宋简体"/>
          <w:color w:val="auto"/>
          <w:sz w:val="28"/>
          <w:szCs w:val="21"/>
        </w:rPr>
        <w:t>，还在日常教学科研中进行严格管理，包括强化研究生导师的思政教育首要责任人作用，如《</w:t>
      </w:r>
      <w:r>
        <w:rPr>
          <w:rStyle w:val="26"/>
          <w:rFonts w:ascii="仿宋_GB2312" w:hAnsi="方正仿宋简体" w:eastAsia="仿宋_GB2312" w:cs="方正仿宋简体"/>
          <w:color w:val="auto"/>
          <w:sz w:val="28"/>
          <w:szCs w:val="21"/>
        </w:rPr>
        <w:t>研究生指导教师考核管理办法</w:t>
      </w:r>
      <w:r>
        <w:rPr>
          <w:rStyle w:val="26"/>
          <w:rFonts w:hint="eastAsia" w:ascii="仿宋_GB2312" w:hAnsi="方正仿宋简体" w:eastAsia="仿宋_GB2312" w:cs="方正仿宋简体"/>
          <w:color w:val="auto"/>
          <w:sz w:val="28"/>
          <w:szCs w:val="21"/>
        </w:rPr>
        <w:t>》就突出强调</w:t>
      </w:r>
      <w:r>
        <w:rPr>
          <w:rStyle w:val="26"/>
          <w:rFonts w:ascii="仿宋_GB2312" w:hAnsi="方正仿宋简体" w:eastAsia="仿宋_GB2312" w:cs="方正仿宋简体"/>
          <w:color w:val="auto"/>
          <w:sz w:val="28"/>
          <w:szCs w:val="21"/>
        </w:rPr>
        <w:t>研究生导师激励与问责管理办法</w:t>
      </w:r>
      <w:r>
        <w:rPr>
          <w:rStyle w:val="26"/>
          <w:rFonts w:hint="eastAsia" w:ascii="仿宋_GB2312" w:hAnsi="方正仿宋简体" w:eastAsia="仿宋_GB2312" w:cs="方正仿宋简体"/>
          <w:color w:val="auto"/>
          <w:sz w:val="28"/>
          <w:szCs w:val="21"/>
        </w:rPr>
        <w:t>制定和实施</w:t>
      </w:r>
      <w:r>
        <w:rPr>
          <w:rStyle w:val="26"/>
          <w:rFonts w:ascii="仿宋_GB2312" w:hAnsi="方正仿宋简体" w:eastAsia="仿宋_GB2312" w:cs="方正仿宋简体"/>
          <w:color w:val="auto"/>
          <w:sz w:val="28"/>
          <w:szCs w:val="21"/>
        </w:rPr>
        <w:t>。</w:t>
      </w:r>
      <w:r>
        <w:rPr>
          <w:rStyle w:val="26"/>
          <w:rFonts w:hint="eastAsia" w:ascii="仿宋_GB2312" w:hAnsi="方正仿宋简体" w:eastAsia="仿宋_GB2312" w:cs="方正仿宋简体"/>
          <w:color w:val="auto"/>
          <w:sz w:val="28"/>
          <w:szCs w:val="21"/>
        </w:rPr>
        <w:t xml:space="preserve"> </w:t>
      </w:r>
    </w:p>
    <w:p>
      <w:pPr>
        <w:pStyle w:val="3"/>
        <w:spacing w:line="560" w:lineRule="exact"/>
        <w:ind w:firstLine="560"/>
        <w:rPr>
          <w:rStyle w:val="26"/>
          <w:rFonts w:hint="default" w:ascii="仿宋_GB2312" w:hAnsi="方正仿宋简体" w:eastAsia="仿宋_GB2312" w:cs="方正仿宋简体"/>
          <w:color w:val="auto"/>
          <w:sz w:val="28"/>
          <w:szCs w:val="21"/>
          <w:lang w:val="en-US"/>
        </w:rPr>
      </w:pPr>
      <w:r>
        <w:rPr>
          <w:rStyle w:val="26"/>
          <w:rFonts w:ascii="仿宋_GB2312" w:hAnsi="方正仿宋简体" w:eastAsia="仿宋_GB2312" w:cs="方正仿宋简体"/>
          <w:color w:val="auto"/>
          <w:sz w:val="28"/>
          <w:szCs w:val="21"/>
        </w:rPr>
        <w:t>重视</w:t>
      </w:r>
      <w:r>
        <w:rPr>
          <w:rStyle w:val="26"/>
          <w:rFonts w:hint="eastAsia" w:ascii="仿宋_GB2312" w:hAnsi="方正仿宋简体" w:eastAsia="仿宋_GB2312" w:cs="方正仿宋简体"/>
          <w:color w:val="auto"/>
          <w:sz w:val="28"/>
          <w:szCs w:val="21"/>
        </w:rPr>
        <w:t>形成“比学赶帮超”的学习文化。</w:t>
      </w:r>
      <w:r>
        <w:rPr>
          <w:rStyle w:val="26"/>
          <w:rFonts w:ascii="仿宋_GB2312" w:hAnsi="方正仿宋简体" w:eastAsia="仿宋_GB2312" w:cs="方正仿宋简体"/>
          <w:color w:val="auto"/>
          <w:sz w:val="28"/>
          <w:szCs w:val="21"/>
        </w:rPr>
        <w:t>提高研究生的综合素质，依托</w:t>
      </w:r>
      <w:r>
        <w:rPr>
          <w:rStyle w:val="26"/>
          <w:rFonts w:hint="eastAsia" w:ascii="仿宋_GB2312" w:hAnsi="方正仿宋简体" w:eastAsia="仿宋_GB2312" w:cs="方正仿宋简体"/>
          <w:color w:val="auto"/>
          <w:sz w:val="28"/>
          <w:szCs w:val="21"/>
        </w:rPr>
        <w:t>“一基地三中心”</w:t>
      </w:r>
      <w:r>
        <w:rPr>
          <w:rStyle w:val="26"/>
          <w:rFonts w:ascii="仿宋_GB2312" w:hAnsi="方正仿宋简体" w:eastAsia="仿宋_GB2312" w:cs="方正仿宋简体"/>
          <w:color w:val="auto"/>
          <w:sz w:val="28"/>
          <w:szCs w:val="21"/>
        </w:rPr>
        <w:t>、两个科研创新团队和海峡两岸的科研创新平台，为研究生提供前沿性研究方向及开展学术研究的基础。本点每学期至少邀请两位工商管理领域知名专家到校进行学术报告，开拓学生视野，提供学生与学术专家交流的机会，</w:t>
      </w:r>
      <w:r>
        <w:rPr>
          <w:rStyle w:val="26"/>
          <w:rFonts w:hint="eastAsia" w:ascii="仿宋_GB2312" w:hAnsi="方正仿宋简体" w:eastAsia="仿宋_GB2312" w:cs="方正仿宋简体"/>
          <w:color w:val="auto"/>
          <w:sz w:val="28"/>
          <w:szCs w:val="21"/>
          <w:lang w:val="en-US"/>
        </w:rPr>
        <w:t>2023年湖南师范大学徐春晓教授、南昌大学黄细嘉教授等专家来校举办了10余场高水平讲座</w:t>
      </w:r>
      <w:r>
        <w:rPr>
          <w:rStyle w:val="26"/>
          <w:rFonts w:ascii="仿宋_GB2312" w:hAnsi="方正仿宋简体" w:eastAsia="仿宋_GB2312" w:cs="方正仿宋简体"/>
          <w:color w:val="auto"/>
          <w:sz w:val="28"/>
          <w:szCs w:val="21"/>
        </w:rPr>
        <w:t>。同时，严格执行研究生学习汇报制度，研究生每两周向导师组或课题组报告一次科研进展情况</w:t>
      </w:r>
      <w:r>
        <w:rPr>
          <w:rStyle w:val="26"/>
          <w:rFonts w:hint="eastAsia" w:ascii="仿宋_GB2312" w:hAnsi="方正仿宋简体" w:eastAsia="仿宋_GB2312" w:cs="方正仿宋简体"/>
          <w:color w:val="auto"/>
          <w:sz w:val="28"/>
          <w:szCs w:val="21"/>
        </w:rPr>
        <w:t>，</w:t>
      </w:r>
      <w:r>
        <w:rPr>
          <w:rStyle w:val="26"/>
          <w:rFonts w:hint="eastAsia" w:ascii="仿宋_GB2312" w:hAnsi="方正仿宋简体" w:eastAsia="仿宋_GB2312" w:cs="方正仿宋简体"/>
          <w:color w:val="auto"/>
          <w:sz w:val="28"/>
          <w:szCs w:val="21"/>
          <w:lang w:val="en-US"/>
        </w:rPr>
        <w:t>为了提高学生科研水平，本学科点在</w:t>
      </w:r>
      <w:r>
        <w:rPr>
          <w:rStyle w:val="26"/>
          <w:rFonts w:hint="eastAsia" w:ascii="仿宋_GB2312" w:hAnsi="方正仿宋简体" w:eastAsia="仿宋_GB2312" w:cs="方正仿宋简体"/>
          <w:color w:val="auto"/>
          <w:sz w:val="28"/>
          <w:szCs w:val="21"/>
        </w:rPr>
        <w:t>2</w:t>
      </w:r>
      <w:r>
        <w:rPr>
          <w:rStyle w:val="26"/>
          <w:rFonts w:ascii="仿宋_GB2312" w:hAnsi="方正仿宋简体" w:eastAsia="仿宋_GB2312" w:cs="方正仿宋简体"/>
          <w:color w:val="auto"/>
          <w:sz w:val="28"/>
          <w:szCs w:val="21"/>
        </w:rPr>
        <w:t>023年</w:t>
      </w:r>
      <w:r>
        <w:rPr>
          <w:rStyle w:val="26"/>
          <w:rFonts w:hint="eastAsia" w:ascii="仿宋_GB2312" w:hAnsi="方正仿宋简体" w:eastAsia="仿宋_GB2312" w:cs="方正仿宋简体"/>
          <w:color w:val="auto"/>
          <w:sz w:val="28"/>
          <w:szCs w:val="21"/>
        </w:rPr>
        <w:t>1</w:t>
      </w:r>
      <w:r>
        <w:rPr>
          <w:rStyle w:val="26"/>
          <w:rFonts w:ascii="仿宋_GB2312" w:hAnsi="方正仿宋简体" w:eastAsia="仿宋_GB2312" w:cs="方正仿宋简体"/>
          <w:color w:val="auto"/>
          <w:sz w:val="28"/>
          <w:szCs w:val="21"/>
        </w:rPr>
        <w:t>1月</w:t>
      </w:r>
      <w:r>
        <w:rPr>
          <w:rStyle w:val="26"/>
          <w:rFonts w:hint="eastAsia" w:ascii="仿宋_GB2312" w:hAnsi="方正仿宋简体" w:eastAsia="仿宋_GB2312" w:cs="方正仿宋简体"/>
          <w:color w:val="auto"/>
          <w:sz w:val="28"/>
          <w:szCs w:val="21"/>
        </w:rPr>
        <w:t>2</w:t>
      </w:r>
      <w:r>
        <w:rPr>
          <w:rStyle w:val="26"/>
          <w:rFonts w:ascii="仿宋_GB2312" w:hAnsi="方正仿宋简体" w:eastAsia="仿宋_GB2312" w:cs="方正仿宋简体"/>
          <w:color w:val="auto"/>
          <w:sz w:val="28"/>
          <w:szCs w:val="21"/>
        </w:rPr>
        <w:t>1日</w:t>
      </w:r>
      <w:r>
        <w:rPr>
          <w:rStyle w:val="26"/>
          <w:rFonts w:hint="eastAsia" w:ascii="仿宋_GB2312" w:hAnsi="方正仿宋简体" w:eastAsia="仿宋_GB2312" w:cs="方正仿宋简体"/>
          <w:color w:val="auto"/>
          <w:sz w:val="28"/>
          <w:szCs w:val="21"/>
          <w:lang w:val="en-US"/>
        </w:rPr>
        <w:t>邀请了</w:t>
      </w:r>
      <w:r>
        <w:rPr>
          <w:rStyle w:val="26"/>
          <w:rFonts w:ascii="仿宋_GB2312" w:hAnsi="方正仿宋简体" w:eastAsia="仿宋_GB2312" w:cs="方正仿宋简体"/>
          <w:color w:val="auto"/>
          <w:sz w:val="28"/>
          <w:szCs w:val="21"/>
        </w:rPr>
        <w:t>艾思科蓝执行总裁、艾思研究院院长、著名国际学术出版专家吕铭方教授开展了《如何向国际知名审稿期刊撰写发表高水平研究论文》</w:t>
      </w:r>
      <w:r>
        <w:rPr>
          <w:rStyle w:val="26"/>
          <w:rFonts w:hint="eastAsia" w:ascii="仿宋_GB2312" w:hAnsi="方正仿宋简体" w:eastAsia="仿宋_GB2312" w:cs="方正仿宋简体"/>
          <w:color w:val="auto"/>
          <w:sz w:val="28"/>
          <w:szCs w:val="21"/>
        </w:rPr>
        <w:t>。</w:t>
      </w:r>
    </w:p>
    <w:p>
      <w:pPr>
        <w:pStyle w:val="3"/>
        <w:spacing w:line="560" w:lineRule="exact"/>
        <w:ind w:firstLine="643"/>
        <w:rPr>
          <w:rStyle w:val="26"/>
          <w:rFonts w:ascii="仿宋_GB2312" w:hAnsi="方正仿宋简体" w:eastAsia="仿宋_GB2312" w:cs="方正仿宋简体"/>
          <w:b/>
          <w:bCs/>
          <w:color w:val="auto"/>
          <w:sz w:val="32"/>
          <w:szCs w:val="22"/>
        </w:rPr>
      </w:pPr>
      <w:r>
        <w:rPr>
          <w:rStyle w:val="26"/>
          <w:rFonts w:hint="eastAsia" w:ascii="仿宋_GB2312" w:hAnsi="方正仿宋简体" w:eastAsia="仿宋_GB2312" w:cs="方正仿宋简体"/>
          <w:b/>
          <w:bCs/>
          <w:color w:val="auto"/>
          <w:sz w:val="32"/>
          <w:szCs w:val="22"/>
        </w:rPr>
        <w:t>（四）日常管理服务工作</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ascii="仿宋_GB2312" w:hAnsi="方正仿宋简体" w:eastAsia="仿宋_GB2312" w:cs="方正仿宋简体"/>
          <w:color w:val="auto"/>
          <w:sz w:val="28"/>
          <w:szCs w:val="21"/>
        </w:rPr>
        <w:t>完善制度，优化服务</w:t>
      </w:r>
      <w:r>
        <w:rPr>
          <w:rStyle w:val="26"/>
          <w:rFonts w:hint="eastAsia" w:ascii="仿宋_GB2312" w:hAnsi="方正仿宋简体" w:eastAsia="仿宋_GB2312" w:cs="方正仿宋简体"/>
          <w:color w:val="auto"/>
          <w:sz w:val="28"/>
          <w:szCs w:val="21"/>
        </w:rPr>
        <w:t>。</w:t>
      </w:r>
      <w:r>
        <w:rPr>
          <w:rStyle w:val="26"/>
          <w:rFonts w:ascii="仿宋_GB2312" w:hAnsi="方正仿宋简体" w:eastAsia="仿宋_GB2312" w:cs="方正仿宋简体"/>
          <w:color w:val="auto"/>
          <w:sz w:val="28"/>
          <w:szCs w:val="21"/>
        </w:rPr>
        <w:t>专门制定了《研究生手册》</w:t>
      </w:r>
      <w:r>
        <w:rPr>
          <w:rStyle w:val="26"/>
          <w:rFonts w:hint="eastAsia" w:ascii="仿宋_GB2312" w:hAnsi="方正仿宋简体" w:eastAsia="仿宋_GB2312" w:cs="方正仿宋简体"/>
          <w:color w:val="auto"/>
          <w:sz w:val="28"/>
          <w:szCs w:val="21"/>
        </w:rPr>
        <w:t>，</w:t>
      </w:r>
      <w:r>
        <w:rPr>
          <w:rStyle w:val="26"/>
          <w:rFonts w:ascii="仿宋_GB2312" w:hAnsi="方正仿宋简体" w:eastAsia="仿宋_GB2312" w:cs="方正仿宋简体"/>
          <w:color w:val="auto"/>
          <w:sz w:val="28"/>
          <w:szCs w:val="21"/>
        </w:rPr>
        <w:t>同时配套制定了相关的制度，加强管理与服务。在具体工作中，</w:t>
      </w:r>
      <w:r>
        <w:rPr>
          <w:rStyle w:val="26"/>
          <w:rFonts w:hint="eastAsia" w:ascii="仿宋_GB2312" w:hAnsi="方正仿宋简体" w:eastAsia="仿宋_GB2312" w:cs="方正仿宋简体"/>
          <w:color w:val="auto"/>
          <w:sz w:val="28"/>
          <w:szCs w:val="21"/>
        </w:rPr>
        <w:t>学位点</w:t>
      </w:r>
      <w:r>
        <w:rPr>
          <w:rStyle w:val="26"/>
          <w:rFonts w:ascii="仿宋_GB2312" w:hAnsi="方正仿宋简体" w:eastAsia="仿宋_GB2312" w:cs="方正仿宋简体"/>
          <w:color w:val="auto"/>
          <w:sz w:val="28"/>
          <w:szCs w:val="21"/>
        </w:rPr>
        <w:t>重视对学生意见的收集与整理，信息渠道畅通；学生通过微信、QQ、信箱等方式，都能够与老师进行有效沟通。</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hint="eastAsia" w:ascii="仿宋_GB2312" w:hAnsi="方正仿宋简体" w:eastAsia="仿宋_GB2312" w:cs="方正仿宋简体"/>
          <w:color w:val="auto"/>
          <w:sz w:val="28"/>
          <w:szCs w:val="21"/>
        </w:rPr>
        <w:t xml:space="preserve">重视考勤，强化管理。为了树立良好的学风，为学生提供风清气正的学习环境，学院制定了规范、完整的学生考勤制度。 </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hint="eastAsia" w:ascii="仿宋_GB2312" w:hAnsi="方正仿宋简体" w:eastAsia="仿宋_GB2312" w:cs="方正仿宋简体"/>
          <w:color w:val="auto"/>
          <w:sz w:val="28"/>
          <w:szCs w:val="21"/>
        </w:rPr>
        <w:t>建立满意度反馈机制。为了解毕业生的满意度，每年对已毕业研究生进行满意度问卷调查。</w:t>
      </w:r>
    </w:p>
    <w:p>
      <w:pPr>
        <w:pStyle w:val="3"/>
        <w:spacing w:line="560" w:lineRule="exact"/>
        <w:ind w:firstLine="0" w:firstLineChars="0"/>
        <w:rPr>
          <w:rStyle w:val="26"/>
          <w:rFonts w:ascii="仿宋_GB2312" w:hAnsi="方正仿宋简体" w:eastAsia="仿宋_GB2312" w:cs="方正仿宋简体"/>
          <w:b/>
          <w:bCs/>
          <w:color w:val="auto"/>
          <w:sz w:val="32"/>
          <w:szCs w:val="22"/>
        </w:rPr>
      </w:pPr>
      <w:r>
        <w:rPr>
          <w:rStyle w:val="26"/>
          <w:rFonts w:hint="eastAsia" w:ascii="仿宋_GB2312" w:hAnsi="方正仿宋简体" w:eastAsia="仿宋_GB2312" w:cs="方正仿宋简体"/>
          <w:b/>
          <w:bCs/>
          <w:color w:val="auto"/>
          <w:sz w:val="32"/>
          <w:szCs w:val="22"/>
        </w:rPr>
        <w:t>三、研究生培养相关制定及执行情况</w:t>
      </w:r>
    </w:p>
    <w:p>
      <w:pPr>
        <w:numPr>
          <w:ilvl w:val="0"/>
          <w:numId w:val="1"/>
        </w:numPr>
        <w:rPr>
          <w:rStyle w:val="26"/>
          <w:rFonts w:ascii="仿宋_GB2312" w:hAnsi="方正仿宋简体" w:eastAsia="仿宋_GB2312" w:cs="方正仿宋简体"/>
          <w:b/>
          <w:bCs/>
          <w:sz w:val="32"/>
          <w:szCs w:val="22"/>
        </w:rPr>
      </w:pPr>
      <w:r>
        <w:rPr>
          <w:rStyle w:val="26"/>
          <w:rFonts w:hint="eastAsia" w:ascii="仿宋_GB2312" w:hAnsi="方正仿宋简体" w:eastAsia="仿宋_GB2312" w:cs="方正仿宋简体"/>
          <w:b/>
          <w:bCs/>
          <w:sz w:val="32"/>
          <w:szCs w:val="22"/>
        </w:rPr>
        <w:t>课程建设与实施情况</w:t>
      </w:r>
    </w:p>
    <w:p>
      <w:pPr>
        <w:spacing w:line="360" w:lineRule="auto"/>
        <w:ind w:firstLine="562" w:firstLineChars="200"/>
        <w:rPr>
          <w:rStyle w:val="26"/>
          <w:rFonts w:ascii="仿宋_GB2312" w:hAnsi="方正仿宋简体" w:eastAsia="仿宋_GB2312" w:cs="方正仿宋简体"/>
          <w:b/>
          <w:bCs/>
          <w:sz w:val="28"/>
          <w:szCs w:val="28"/>
        </w:rPr>
      </w:pPr>
      <w:r>
        <w:rPr>
          <w:rStyle w:val="26"/>
          <w:rFonts w:hint="eastAsia" w:ascii="仿宋_GB2312" w:hAnsi="方正仿宋简体" w:eastAsia="仿宋_GB2312" w:cs="方正仿宋简体"/>
          <w:b/>
          <w:bCs/>
          <w:sz w:val="28"/>
          <w:szCs w:val="28"/>
        </w:rPr>
        <w:t>1.课程教学</w:t>
      </w:r>
    </w:p>
    <w:p>
      <w:pPr>
        <w:spacing w:line="360" w:lineRule="auto"/>
        <w:ind w:firstLine="562" w:firstLineChars="200"/>
        <w:rPr>
          <w:rStyle w:val="26"/>
          <w:rFonts w:ascii="仿宋_GB2312" w:hAnsi="方正仿宋简体" w:eastAsia="仿宋_GB2312" w:cs="方正仿宋简体"/>
          <w:b/>
          <w:bCs/>
          <w:sz w:val="28"/>
          <w:szCs w:val="28"/>
        </w:rPr>
      </w:pPr>
      <w:r>
        <w:rPr>
          <w:rStyle w:val="26"/>
          <w:rFonts w:hint="eastAsia" w:ascii="仿宋_GB2312" w:hAnsi="方正仿宋简体" w:eastAsia="仿宋_GB2312" w:cs="方正仿宋简体"/>
          <w:b/>
          <w:bCs/>
          <w:sz w:val="28"/>
          <w:szCs w:val="28"/>
        </w:rPr>
        <w:t>1.1根据特色设置符合培养目标要求的课程体系</w:t>
      </w:r>
    </w:p>
    <w:p>
      <w:pPr>
        <w:spacing w:line="360" w:lineRule="auto"/>
        <w:ind w:firstLine="560" w:firstLineChars="20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sz w:val="28"/>
          <w:szCs w:val="21"/>
        </w:rPr>
        <w:t>根据教育部和校级学术型研究生培养相关制度，经过校内外专家共同商讨制定了“工商管理”学科中二级学科方向人才培养方案，每个二级学科点都设置了4门公共课程、3门专业基础课和6-7门专业核心课程，以及专业方向课程、素质课程和补修课程，并根据学位点的特色和优势，在课程设置中重点强调“创新创业”和“产教融合”特色，重视理论与实践相结合的课程，例如旅游管理专业与江西旅游科技集团合作开发校企合作课程，全面推进《大数据与智慧旅游》《服务经济与服务性企业管理》等校企合作课程建设。授课教师不仅由本领域学术水平较高、教学经验丰富的副高以上教师或者博士担任，而且在实践、案例教学中引进行业和企业导师融入课堂教学中，确保了良好的教学质量（见表1）。课程选用的教材大多为经管类专业学位研究生主干课程系列教材、教育部规划教材，本学位点也出台了相应政策鼓励专任教师自编教材和讲义，倡导建立多元化的课程开发体系。</w:t>
      </w:r>
    </w:p>
    <w:p>
      <w:pPr>
        <w:snapToGrid w:val="0"/>
        <w:spacing w:line="360" w:lineRule="auto"/>
        <w:jc w:val="center"/>
        <w:rPr>
          <w:rStyle w:val="26"/>
          <w:rFonts w:ascii="仿宋_GB2312" w:hAnsi="方正仿宋简体" w:eastAsia="仿宋_GB2312" w:cs="方正仿宋简体"/>
          <w:b/>
          <w:bCs/>
          <w:color w:val="auto"/>
          <w:sz w:val="22"/>
          <w:szCs w:val="30"/>
        </w:rPr>
      </w:pPr>
      <w:r>
        <w:rPr>
          <w:rStyle w:val="26"/>
          <w:rFonts w:hint="eastAsia" w:ascii="仿宋_GB2312" w:hAnsi="方正仿宋简体" w:eastAsia="仿宋_GB2312" w:cs="方正仿宋简体"/>
          <w:b/>
          <w:bCs/>
          <w:color w:val="auto"/>
          <w:sz w:val="22"/>
          <w:szCs w:val="30"/>
        </w:rPr>
        <w:t>表1 会计学专业硕士学位研究生专业核心课程设置与主讲教师</w:t>
      </w:r>
    </w:p>
    <w:tbl>
      <w:tblPr>
        <w:tblStyle w:val="13"/>
        <w:tblpPr w:leftFromText="180" w:rightFromText="180" w:vertAnchor="text" w:horzAnchor="page" w:tblpX="1825" w:tblpY="21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661"/>
        <w:gridCol w:w="1025"/>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4"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b/>
                <w:bCs/>
                <w:color w:val="auto"/>
              </w:rPr>
            </w:pPr>
            <w:r>
              <w:rPr>
                <w:rStyle w:val="26"/>
                <w:rFonts w:hint="eastAsia" w:ascii="仿宋_GB2312" w:hAnsi="方正仿宋简体" w:eastAsia="仿宋_GB2312" w:cs="方正仿宋简体"/>
                <w:b/>
                <w:bCs/>
                <w:color w:val="auto"/>
              </w:rPr>
              <w:t>课程名称</w:t>
            </w:r>
          </w:p>
        </w:tc>
        <w:tc>
          <w:tcPr>
            <w:tcW w:w="974"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b/>
                <w:bCs/>
                <w:color w:val="auto"/>
              </w:rPr>
            </w:pPr>
            <w:r>
              <w:rPr>
                <w:rStyle w:val="26"/>
                <w:rFonts w:hint="eastAsia" w:ascii="仿宋_GB2312" w:hAnsi="方正仿宋简体" w:eastAsia="仿宋_GB2312" w:cs="方正仿宋简体"/>
                <w:b/>
                <w:bCs/>
                <w:color w:val="auto"/>
              </w:rPr>
              <w:t>学时</w:t>
            </w:r>
          </w:p>
        </w:tc>
        <w:tc>
          <w:tcPr>
            <w:tcW w:w="601"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b/>
                <w:bCs/>
                <w:color w:val="auto"/>
              </w:rPr>
            </w:pPr>
            <w:r>
              <w:rPr>
                <w:rStyle w:val="26"/>
                <w:rFonts w:hint="eastAsia" w:ascii="仿宋_GB2312" w:hAnsi="方正仿宋简体" w:eastAsia="仿宋_GB2312" w:cs="方正仿宋简体"/>
                <w:b/>
                <w:bCs/>
                <w:color w:val="auto"/>
              </w:rPr>
              <w:t>学分</w:t>
            </w:r>
          </w:p>
        </w:tc>
        <w:tc>
          <w:tcPr>
            <w:tcW w:w="1899"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b/>
                <w:bCs/>
                <w:color w:val="auto"/>
              </w:rPr>
            </w:pPr>
            <w:r>
              <w:rPr>
                <w:rStyle w:val="26"/>
                <w:rFonts w:hint="eastAsia" w:ascii="仿宋_GB2312" w:hAnsi="方正仿宋简体" w:eastAsia="仿宋_GB2312" w:cs="方正仿宋简体"/>
                <w:b/>
                <w:bCs/>
                <w:color w:val="auto"/>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公司战略与风险管理</w:t>
            </w:r>
          </w:p>
        </w:tc>
        <w:tc>
          <w:tcPr>
            <w:tcW w:w="97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32</w:t>
            </w:r>
          </w:p>
        </w:tc>
        <w:tc>
          <w:tcPr>
            <w:tcW w:w="601"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2</w:t>
            </w:r>
          </w:p>
        </w:tc>
        <w:tc>
          <w:tcPr>
            <w:tcW w:w="1899"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林瑛</w:t>
            </w:r>
            <w:r>
              <w:rPr>
                <w:rStyle w:val="26"/>
                <w:rFonts w:hint="eastAsia" w:ascii="仿宋_GB2312" w:hAnsi="方正仿宋简体" w:eastAsia="仿宋_GB2312" w:cs="方正仿宋简体"/>
                <w:color w:val="auto"/>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会计前沿专题</w:t>
            </w:r>
          </w:p>
        </w:tc>
        <w:tc>
          <w:tcPr>
            <w:tcW w:w="97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32</w:t>
            </w:r>
          </w:p>
        </w:tc>
        <w:tc>
          <w:tcPr>
            <w:tcW w:w="601"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2</w:t>
            </w:r>
          </w:p>
        </w:tc>
        <w:tc>
          <w:tcPr>
            <w:tcW w:w="1899"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lang w:val="en-US"/>
              </w:rPr>
              <w:t>罗焰教授、</w:t>
            </w:r>
            <w:r>
              <w:rPr>
                <w:rStyle w:val="26"/>
                <w:rFonts w:hint="eastAsia" w:ascii="仿宋_GB2312" w:hAnsi="方正仿宋简体" w:eastAsia="仿宋_GB2312" w:cs="方正仿宋简体"/>
                <w:color w:val="auto"/>
              </w:rPr>
              <w:t>孙克</w:t>
            </w:r>
            <w:r>
              <w:rPr>
                <w:rStyle w:val="26"/>
                <w:rFonts w:hint="eastAsia" w:ascii="仿宋_GB2312" w:hAnsi="方正仿宋简体" w:eastAsia="仿宋_GB2312" w:cs="方正仿宋简体"/>
                <w:color w:val="auto"/>
                <w:lang w:val="en-US"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成本管理研究</w:t>
            </w:r>
          </w:p>
        </w:tc>
        <w:tc>
          <w:tcPr>
            <w:tcW w:w="97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32</w:t>
            </w:r>
          </w:p>
        </w:tc>
        <w:tc>
          <w:tcPr>
            <w:tcW w:w="601"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2</w:t>
            </w:r>
          </w:p>
        </w:tc>
        <w:tc>
          <w:tcPr>
            <w:tcW w:w="1899"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阮帅</w:t>
            </w:r>
            <w:r>
              <w:rPr>
                <w:rStyle w:val="26"/>
                <w:rFonts w:hint="eastAsia" w:ascii="仿宋_GB2312" w:hAnsi="方正仿宋简体" w:eastAsia="仿宋_GB2312" w:cs="方正仿宋简体"/>
                <w:color w:val="auto"/>
                <w:lang w:val="en-US"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大数据与财务决策</w:t>
            </w:r>
          </w:p>
        </w:tc>
        <w:tc>
          <w:tcPr>
            <w:tcW w:w="97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32</w:t>
            </w:r>
          </w:p>
        </w:tc>
        <w:tc>
          <w:tcPr>
            <w:tcW w:w="601"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2</w:t>
            </w:r>
          </w:p>
        </w:tc>
        <w:tc>
          <w:tcPr>
            <w:tcW w:w="1899"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胡敏</w:t>
            </w:r>
            <w:r>
              <w:rPr>
                <w:rStyle w:val="26"/>
                <w:rFonts w:hint="eastAsia" w:ascii="仿宋_GB2312" w:hAnsi="方正仿宋简体" w:eastAsia="仿宋_GB2312" w:cs="方正仿宋简体"/>
                <w:color w:val="auto"/>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管理学理论前沿</w:t>
            </w:r>
          </w:p>
        </w:tc>
        <w:tc>
          <w:tcPr>
            <w:tcW w:w="97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32</w:t>
            </w:r>
          </w:p>
        </w:tc>
        <w:tc>
          <w:tcPr>
            <w:tcW w:w="601"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2</w:t>
            </w:r>
          </w:p>
        </w:tc>
        <w:tc>
          <w:tcPr>
            <w:tcW w:w="1899"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程月明</w:t>
            </w:r>
            <w:r>
              <w:rPr>
                <w:rStyle w:val="26"/>
                <w:rFonts w:hint="eastAsia" w:ascii="仿宋_GB2312" w:hAnsi="方正仿宋简体" w:eastAsia="仿宋_GB2312" w:cs="方正仿宋简体"/>
                <w:color w:val="auto"/>
                <w:lang w:val="en-US"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研究方法</w:t>
            </w:r>
          </w:p>
        </w:tc>
        <w:tc>
          <w:tcPr>
            <w:tcW w:w="97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32</w:t>
            </w:r>
          </w:p>
        </w:tc>
        <w:tc>
          <w:tcPr>
            <w:tcW w:w="601"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2</w:t>
            </w:r>
          </w:p>
        </w:tc>
        <w:tc>
          <w:tcPr>
            <w:tcW w:w="1899"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lang w:val="en-US"/>
              </w:rPr>
              <w:t>吴学仕副教授、</w:t>
            </w:r>
            <w:r>
              <w:rPr>
                <w:rStyle w:val="26"/>
                <w:rFonts w:hint="eastAsia" w:ascii="仿宋_GB2312" w:hAnsi="方正仿宋简体" w:eastAsia="仿宋_GB2312" w:cs="方正仿宋简体"/>
                <w:color w:val="auto"/>
              </w:rPr>
              <w:t>高明</w:t>
            </w:r>
            <w:r>
              <w:rPr>
                <w:rStyle w:val="26"/>
                <w:rFonts w:hint="eastAsia" w:ascii="仿宋_GB2312" w:hAnsi="方正仿宋简体" w:eastAsia="仿宋_GB2312" w:cs="方正仿宋简体"/>
                <w:color w:val="auto"/>
                <w:lang w:val="en-US" w:eastAsia="zh-CN"/>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学术道德与论文写作</w:t>
            </w:r>
          </w:p>
        </w:tc>
        <w:tc>
          <w:tcPr>
            <w:tcW w:w="97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16</w:t>
            </w:r>
          </w:p>
        </w:tc>
        <w:tc>
          <w:tcPr>
            <w:tcW w:w="601"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1</w:t>
            </w:r>
          </w:p>
        </w:tc>
        <w:tc>
          <w:tcPr>
            <w:tcW w:w="1899"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lang w:val="en-US"/>
              </w:rPr>
              <w:t>吴学仕副教授、</w:t>
            </w:r>
            <w:r>
              <w:rPr>
                <w:rStyle w:val="26"/>
                <w:rFonts w:hint="eastAsia" w:ascii="仿宋_GB2312" w:hAnsi="方正仿宋简体" w:eastAsia="仿宋_GB2312" w:cs="方正仿宋简体"/>
                <w:color w:val="auto"/>
              </w:rPr>
              <w:t>舒斯亮</w:t>
            </w:r>
            <w:r>
              <w:rPr>
                <w:rStyle w:val="26"/>
                <w:rFonts w:hint="eastAsia" w:ascii="仿宋_GB2312" w:hAnsi="方正仿宋简体" w:eastAsia="仿宋_GB2312" w:cs="方正仿宋简体"/>
                <w:color w:val="auto"/>
                <w:lang w:val="en-US"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税收法规与纳税筹划</w:t>
            </w:r>
          </w:p>
        </w:tc>
        <w:tc>
          <w:tcPr>
            <w:tcW w:w="974"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32</w:t>
            </w:r>
          </w:p>
        </w:tc>
        <w:tc>
          <w:tcPr>
            <w:tcW w:w="601"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2</w:t>
            </w:r>
          </w:p>
        </w:tc>
        <w:tc>
          <w:tcPr>
            <w:tcW w:w="1899"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rPr>
              <w:t>章文波</w:t>
            </w:r>
            <w:r>
              <w:rPr>
                <w:rStyle w:val="26"/>
                <w:rFonts w:hint="eastAsia" w:ascii="仿宋_GB2312" w:hAnsi="方正仿宋简体" w:eastAsia="仿宋_GB2312" w:cs="方正仿宋简体"/>
                <w:color w:val="auto"/>
                <w:lang w:val="en-US"/>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pct"/>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审计理论与实践</w:t>
            </w:r>
          </w:p>
        </w:tc>
        <w:tc>
          <w:tcPr>
            <w:tcW w:w="974"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32</w:t>
            </w:r>
          </w:p>
        </w:tc>
        <w:tc>
          <w:tcPr>
            <w:tcW w:w="601"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2</w:t>
            </w:r>
          </w:p>
        </w:tc>
        <w:tc>
          <w:tcPr>
            <w:tcW w:w="1899" w:type="pct"/>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张雷云博士</w:t>
            </w:r>
          </w:p>
        </w:tc>
      </w:tr>
    </w:tbl>
    <w:p>
      <w:pPr>
        <w:spacing w:line="360" w:lineRule="auto"/>
        <w:jc w:val="left"/>
        <w:rPr>
          <w:rStyle w:val="26"/>
          <w:rFonts w:hint="eastAsia" w:ascii="仿宋_GB2312" w:hAnsi="方正仿宋简体" w:eastAsia="仿宋_GB2312" w:cs="方正仿宋简体"/>
          <w:color w:val="auto"/>
        </w:rPr>
      </w:pPr>
    </w:p>
    <w:p>
      <w:pPr>
        <w:snapToGrid w:val="0"/>
        <w:spacing w:line="360" w:lineRule="auto"/>
        <w:jc w:val="center"/>
        <w:rPr>
          <w:rStyle w:val="26"/>
          <w:rFonts w:ascii="仿宋_GB2312" w:hAnsi="方正仿宋简体" w:eastAsia="仿宋_GB2312" w:cs="方正仿宋简体"/>
          <w:b/>
          <w:bCs/>
          <w:color w:val="auto"/>
          <w:sz w:val="22"/>
          <w:szCs w:val="30"/>
        </w:rPr>
      </w:pPr>
      <w:r>
        <w:rPr>
          <w:rStyle w:val="26"/>
          <w:rFonts w:hint="eastAsia" w:ascii="仿宋_GB2312" w:hAnsi="方正仿宋简体" w:eastAsia="仿宋_GB2312" w:cs="方正仿宋简体"/>
          <w:b/>
          <w:bCs/>
          <w:color w:val="auto"/>
          <w:sz w:val="22"/>
          <w:szCs w:val="30"/>
        </w:rPr>
        <w:t>表2 企业管理专业硕士学位研究生专业核心课程设置与主讲教师</w:t>
      </w:r>
    </w:p>
    <w:tbl>
      <w:tblPr>
        <w:tblStyle w:val="13"/>
        <w:tblpPr w:leftFromText="180" w:rightFromText="180" w:vertAnchor="text" w:horzAnchor="page" w:tblpX="1825" w:tblpY="2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9"/>
        <w:gridCol w:w="1401"/>
        <w:gridCol w:w="843"/>
        <w:gridCol w:w="3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59" w:type="dxa"/>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b/>
                <w:bCs/>
                <w:color w:val="auto"/>
              </w:rPr>
            </w:pPr>
            <w:r>
              <w:rPr>
                <w:rStyle w:val="26"/>
                <w:rFonts w:hint="eastAsia" w:ascii="仿宋_GB2312" w:hAnsi="方正仿宋简体" w:eastAsia="仿宋_GB2312" w:cs="方正仿宋简体"/>
                <w:b/>
                <w:bCs/>
                <w:color w:val="auto"/>
              </w:rPr>
              <w:t>课程名称</w:t>
            </w:r>
          </w:p>
        </w:tc>
        <w:tc>
          <w:tcPr>
            <w:tcW w:w="1401" w:type="dxa"/>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b/>
                <w:bCs/>
                <w:color w:val="auto"/>
              </w:rPr>
            </w:pPr>
            <w:r>
              <w:rPr>
                <w:rStyle w:val="26"/>
                <w:rFonts w:hint="eastAsia" w:ascii="仿宋_GB2312" w:hAnsi="方正仿宋简体" w:eastAsia="仿宋_GB2312" w:cs="方正仿宋简体"/>
                <w:b/>
                <w:bCs/>
                <w:color w:val="auto"/>
              </w:rPr>
              <w:t>学时</w:t>
            </w:r>
          </w:p>
        </w:tc>
        <w:tc>
          <w:tcPr>
            <w:tcW w:w="843" w:type="dxa"/>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b/>
                <w:bCs/>
                <w:color w:val="auto"/>
              </w:rPr>
            </w:pPr>
            <w:r>
              <w:rPr>
                <w:rStyle w:val="26"/>
                <w:rFonts w:hint="eastAsia" w:ascii="仿宋_GB2312" w:hAnsi="方正仿宋简体" w:eastAsia="仿宋_GB2312" w:cs="方正仿宋简体"/>
                <w:b/>
                <w:bCs/>
                <w:color w:val="auto"/>
              </w:rPr>
              <w:t>学分</w:t>
            </w:r>
          </w:p>
        </w:tc>
        <w:tc>
          <w:tcPr>
            <w:tcW w:w="3419" w:type="dxa"/>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b/>
                <w:bCs/>
                <w:color w:val="auto"/>
              </w:rPr>
            </w:pPr>
            <w:r>
              <w:rPr>
                <w:rStyle w:val="26"/>
                <w:rFonts w:hint="eastAsia" w:ascii="仿宋_GB2312" w:hAnsi="方正仿宋简体" w:eastAsia="仿宋_GB2312" w:cs="方正仿宋简体"/>
                <w:b/>
                <w:bCs/>
                <w:color w:val="auto"/>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59"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企业管理咨询</w:t>
            </w:r>
          </w:p>
        </w:tc>
        <w:tc>
          <w:tcPr>
            <w:tcW w:w="1401"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32</w:t>
            </w:r>
          </w:p>
        </w:tc>
        <w:tc>
          <w:tcPr>
            <w:tcW w:w="843"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2</w:t>
            </w:r>
          </w:p>
        </w:tc>
        <w:tc>
          <w:tcPr>
            <w:tcW w:w="3419"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eastAsia="zh-CN"/>
              </w:rPr>
            </w:pPr>
            <w:r>
              <w:rPr>
                <w:rStyle w:val="26"/>
                <w:rFonts w:hint="eastAsia" w:ascii="仿宋_GB2312" w:hAnsi="方正仿宋简体" w:eastAsia="仿宋_GB2312" w:cs="方正仿宋简体"/>
                <w:color w:val="auto"/>
              </w:rPr>
              <w:t>程月明</w:t>
            </w:r>
            <w:r>
              <w:rPr>
                <w:rStyle w:val="26"/>
                <w:rFonts w:hint="eastAsia" w:ascii="仿宋_GB2312" w:hAnsi="方正仿宋简体" w:eastAsia="仿宋_GB2312" w:cs="方正仿宋简体"/>
                <w:color w:val="auto"/>
                <w:lang w:val="en-US"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高级企业财务管理</w:t>
            </w:r>
          </w:p>
        </w:tc>
        <w:tc>
          <w:tcPr>
            <w:tcW w:w="1401"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32</w:t>
            </w:r>
          </w:p>
        </w:tc>
        <w:tc>
          <w:tcPr>
            <w:tcW w:w="843"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2</w:t>
            </w:r>
          </w:p>
        </w:tc>
        <w:tc>
          <w:tcPr>
            <w:tcW w:w="3419"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程月明</w:t>
            </w:r>
            <w:r>
              <w:rPr>
                <w:rStyle w:val="26"/>
                <w:rFonts w:hint="eastAsia" w:ascii="仿宋_GB2312" w:hAnsi="方正仿宋简体" w:eastAsia="仿宋_GB2312" w:cs="方正仿宋简体"/>
                <w:color w:val="auto"/>
                <w:lang w:val="en-US"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企业绩效与薪酬管理</w:t>
            </w:r>
          </w:p>
        </w:tc>
        <w:tc>
          <w:tcPr>
            <w:tcW w:w="1401"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32</w:t>
            </w:r>
          </w:p>
        </w:tc>
        <w:tc>
          <w:tcPr>
            <w:tcW w:w="843"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2</w:t>
            </w:r>
          </w:p>
        </w:tc>
        <w:tc>
          <w:tcPr>
            <w:tcW w:w="3419"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赵海婷</w:t>
            </w:r>
            <w:r>
              <w:rPr>
                <w:rStyle w:val="26"/>
                <w:rFonts w:hint="eastAsia" w:ascii="仿宋_GB2312" w:hAnsi="方正仿宋简体" w:eastAsia="仿宋_GB2312" w:cs="方正仿宋简体"/>
                <w:color w:val="auto"/>
                <w:lang w:val="en-US"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企业竞争能力与企业发展</w:t>
            </w:r>
          </w:p>
        </w:tc>
        <w:tc>
          <w:tcPr>
            <w:tcW w:w="1401"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32</w:t>
            </w:r>
          </w:p>
        </w:tc>
        <w:tc>
          <w:tcPr>
            <w:tcW w:w="843"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2</w:t>
            </w:r>
          </w:p>
        </w:tc>
        <w:tc>
          <w:tcPr>
            <w:tcW w:w="3419"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周荣</w:t>
            </w:r>
            <w:r>
              <w:rPr>
                <w:rStyle w:val="26"/>
                <w:rFonts w:hint="eastAsia" w:ascii="仿宋_GB2312" w:hAnsi="方正仿宋简体" w:eastAsia="仿宋_GB2312" w:cs="方正仿宋简体"/>
                <w:color w:val="auto"/>
                <w:lang w:val="en-US"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营销管理</w:t>
            </w:r>
          </w:p>
        </w:tc>
        <w:tc>
          <w:tcPr>
            <w:tcW w:w="1401" w:type="dxa"/>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32</w:t>
            </w:r>
          </w:p>
        </w:tc>
        <w:tc>
          <w:tcPr>
            <w:tcW w:w="843" w:type="dxa"/>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2</w:t>
            </w:r>
          </w:p>
        </w:tc>
        <w:tc>
          <w:tcPr>
            <w:tcW w:w="3419"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林瑛</w:t>
            </w:r>
            <w:r>
              <w:rPr>
                <w:rStyle w:val="26"/>
                <w:rFonts w:hint="eastAsia" w:ascii="仿宋_GB2312" w:hAnsi="方正仿宋简体" w:eastAsia="仿宋_GB2312" w:cs="方正仿宋简体"/>
                <w:color w:val="auto"/>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人力资源管理</w:t>
            </w:r>
          </w:p>
        </w:tc>
        <w:tc>
          <w:tcPr>
            <w:tcW w:w="1401" w:type="dxa"/>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32</w:t>
            </w:r>
          </w:p>
        </w:tc>
        <w:tc>
          <w:tcPr>
            <w:tcW w:w="843" w:type="dxa"/>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2</w:t>
            </w:r>
          </w:p>
        </w:tc>
        <w:tc>
          <w:tcPr>
            <w:tcW w:w="3419" w:type="dxa"/>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李红浪教授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战略管理</w:t>
            </w:r>
          </w:p>
        </w:tc>
        <w:tc>
          <w:tcPr>
            <w:tcW w:w="1401" w:type="dxa"/>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32</w:t>
            </w:r>
          </w:p>
        </w:tc>
        <w:tc>
          <w:tcPr>
            <w:tcW w:w="843" w:type="dxa"/>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2</w:t>
            </w:r>
          </w:p>
        </w:tc>
        <w:tc>
          <w:tcPr>
            <w:tcW w:w="3419"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rPr>
              <w:t>程月明</w:t>
            </w:r>
            <w:r>
              <w:rPr>
                <w:rStyle w:val="26"/>
                <w:rFonts w:hint="eastAsia" w:ascii="仿宋_GB2312" w:hAnsi="方正仿宋简体" w:eastAsia="仿宋_GB2312" w:cs="方正仿宋简体"/>
                <w:color w:val="auto"/>
                <w:lang w:val="en-US"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pPr>
              <w:keepNext w:val="0"/>
              <w:keepLines w:val="0"/>
              <w:suppressLineNumbers w:val="0"/>
              <w:spacing w:before="0" w:beforeAutospacing="0" w:after="0" w:afterAutospacing="0" w:line="360" w:lineRule="auto"/>
              <w:ind w:left="0" w:right="0"/>
              <w:jc w:val="center"/>
              <w:rPr>
                <w:rStyle w:val="26"/>
                <w:rFonts w:hint="eastAsia" w:ascii="仿宋_GB2312" w:hAnsi="方正仿宋简体" w:eastAsia="仿宋_GB2312" w:cs="方正仿宋简体"/>
                <w:color w:val="auto"/>
              </w:rPr>
            </w:pPr>
            <w:r>
              <w:rPr>
                <w:rStyle w:val="26"/>
                <w:rFonts w:hint="eastAsia" w:ascii="仿宋_GB2312" w:hAnsi="方正仿宋简体" w:eastAsia="仿宋_GB2312" w:cs="方正仿宋简体"/>
                <w:color w:val="auto"/>
              </w:rPr>
              <w:t>技术经济理论与方法</w:t>
            </w:r>
          </w:p>
        </w:tc>
        <w:tc>
          <w:tcPr>
            <w:tcW w:w="1401" w:type="dxa"/>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32</w:t>
            </w:r>
          </w:p>
        </w:tc>
        <w:tc>
          <w:tcPr>
            <w:tcW w:w="843" w:type="dxa"/>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2</w:t>
            </w:r>
          </w:p>
        </w:tc>
        <w:tc>
          <w:tcPr>
            <w:tcW w:w="3419" w:type="dxa"/>
            <w:vAlign w:val="center"/>
          </w:tcPr>
          <w:p>
            <w:pPr>
              <w:keepNext w:val="0"/>
              <w:keepLines w:val="0"/>
              <w:suppressLineNumbers w:val="0"/>
              <w:spacing w:before="0" w:beforeAutospacing="0" w:after="0" w:afterAutospacing="0" w:line="360" w:lineRule="auto"/>
              <w:ind w:left="0" w:right="0"/>
              <w:jc w:val="center"/>
              <w:rPr>
                <w:rStyle w:val="26"/>
                <w:rFonts w:hint="default" w:ascii="仿宋_GB2312" w:hAnsi="方正仿宋简体" w:eastAsia="仿宋_GB2312" w:cs="方正仿宋简体"/>
                <w:color w:val="auto"/>
                <w:lang w:val="en-US"/>
              </w:rPr>
            </w:pPr>
            <w:r>
              <w:rPr>
                <w:rStyle w:val="26"/>
                <w:rFonts w:hint="eastAsia" w:ascii="仿宋_GB2312" w:hAnsi="方正仿宋简体" w:eastAsia="仿宋_GB2312" w:cs="方正仿宋简体"/>
                <w:color w:val="auto"/>
                <w:lang w:val="en-US"/>
              </w:rPr>
              <w:t>汤新发副教授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仿宋_GB2312" w:hAnsi="方正仿宋简体" w:eastAsia="仿宋_GB2312" w:cs="方正仿宋简体"/>
                <w:color w:val="auto"/>
                <w:kern w:val="2"/>
                <w:sz w:val="24"/>
                <w:szCs w:val="24"/>
                <w:lang w:val="en-US" w:eastAsia="zh-CN" w:bidi="ar-SA"/>
              </w:rPr>
            </w:pPr>
            <w:r>
              <w:rPr>
                <w:rStyle w:val="33"/>
                <w:rFonts w:hint="default" w:ascii="仿宋_GB2312" w:hAnsi="方正仿宋简体" w:eastAsia="仿宋_GB2312" w:cs="仿宋_GB2312"/>
                <w:color w:val="auto"/>
                <w:kern w:val="2"/>
                <w:sz w:val="24"/>
                <w:szCs w:val="24"/>
                <w:lang w:val="en-US" w:eastAsia="zh-CN" w:bidi="ar"/>
              </w:rPr>
              <w:t>管理学理论前沿</w:t>
            </w:r>
          </w:p>
        </w:tc>
        <w:tc>
          <w:tcPr>
            <w:tcW w:w="1401"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仿宋_GB2312" w:hAnsi="方正仿宋简体" w:eastAsia="仿宋_GB2312" w:cs="方正仿宋简体"/>
                <w:color w:val="auto"/>
                <w:kern w:val="2"/>
                <w:sz w:val="24"/>
                <w:szCs w:val="24"/>
                <w:lang w:val="en-US" w:eastAsia="zh-CN" w:bidi="ar-SA"/>
              </w:rPr>
            </w:pPr>
            <w:r>
              <w:rPr>
                <w:rStyle w:val="33"/>
                <w:rFonts w:hint="default" w:ascii="仿宋_GB2312" w:hAnsi="方正仿宋简体" w:eastAsia="仿宋_GB2312" w:cs="仿宋_GB2312"/>
                <w:color w:val="auto"/>
                <w:kern w:val="2"/>
                <w:sz w:val="24"/>
                <w:szCs w:val="24"/>
                <w:lang w:val="en-US" w:eastAsia="zh-CN" w:bidi="ar"/>
              </w:rPr>
              <w:t>32</w:t>
            </w:r>
          </w:p>
        </w:tc>
        <w:tc>
          <w:tcPr>
            <w:tcW w:w="843"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仿宋_GB2312" w:hAnsi="方正仿宋简体" w:eastAsia="仿宋_GB2312" w:cs="方正仿宋简体"/>
                <w:color w:val="auto"/>
                <w:kern w:val="2"/>
                <w:sz w:val="24"/>
                <w:szCs w:val="24"/>
                <w:lang w:val="en-US" w:eastAsia="zh-CN" w:bidi="ar-SA"/>
              </w:rPr>
            </w:pPr>
            <w:r>
              <w:rPr>
                <w:rStyle w:val="33"/>
                <w:rFonts w:hint="default" w:ascii="仿宋_GB2312" w:hAnsi="方正仿宋简体" w:eastAsia="仿宋_GB2312" w:cs="仿宋_GB2312"/>
                <w:color w:val="auto"/>
                <w:kern w:val="2"/>
                <w:sz w:val="24"/>
                <w:szCs w:val="24"/>
                <w:lang w:val="en-US" w:eastAsia="zh-CN" w:bidi="ar"/>
              </w:rPr>
              <w:t>2</w:t>
            </w:r>
          </w:p>
        </w:tc>
        <w:tc>
          <w:tcPr>
            <w:tcW w:w="3419"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仿宋_GB2312" w:hAnsi="方正仿宋简体" w:eastAsia="仿宋_GB2312" w:cs="方正仿宋简体"/>
                <w:color w:val="auto"/>
                <w:kern w:val="2"/>
                <w:sz w:val="24"/>
                <w:szCs w:val="24"/>
                <w:lang w:val="en-US" w:eastAsia="zh-CN" w:bidi="ar-SA"/>
              </w:rPr>
            </w:pPr>
            <w:r>
              <w:rPr>
                <w:rStyle w:val="33"/>
                <w:rFonts w:hint="default" w:ascii="仿宋_GB2312" w:hAnsi="方正仿宋简体" w:eastAsia="仿宋_GB2312" w:cs="仿宋_GB2312"/>
                <w:color w:val="auto"/>
                <w:kern w:val="2"/>
                <w:sz w:val="24"/>
                <w:szCs w:val="24"/>
                <w:lang w:val="en-US" w:eastAsia="zh-CN" w:bidi="ar"/>
              </w:rPr>
              <w:t>程月明副教授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仿宋_GB2312" w:hAnsi="方正仿宋简体" w:eastAsia="仿宋_GB2312" w:cs="方正仿宋简体"/>
                <w:color w:val="auto"/>
                <w:kern w:val="2"/>
                <w:sz w:val="24"/>
                <w:szCs w:val="24"/>
                <w:lang w:val="en-US" w:eastAsia="zh-CN" w:bidi="ar-SA"/>
              </w:rPr>
            </w:pPr>
            <w:r>
              <w:rPr>
                <w:rStyle w:val="33"/>
                <w:rFonts w:hint="default" w:ascii="仿宋_GB2312" w:hAnsi="方正仿宋简体" w:eastAsia="仿宋_GB2312" w:cs="仿宋_GB2312"/>
                <w:color w:val="auto"/>
                <w:kern w:val="2"/>
                <w:sz w:val="24"/>
                <w:szCs w:val="24"/>
                <w:lang w:val="en-US" w:eastAsia="zh-CN" w:bidi="ar"/>
              </w:rPr>
              <w:t>研究方法</w:t>
            </w:r>
          </w:p>
        </w:tc>
        <w:tc>
          <w:tcPr>
            <w:tcW w:w="1401"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仿宋_GB2312" w:hAnsi="方正仿宋简体" w:eastAsia="仿宋_GB2312" w:cs="方正仿宋简体"/>
                <w:color w:val="auto"/>
                <w:kern w:val="2"/>
                <w:sz w:val="24"/>
                <w:szCs w:val="24"/>
                <w:lang w:val="en-US" w:eastAsia="zh-CN" w:bidi="ar-SA"/>
              </w:rPr>
            </w:pPr>
            <w:r>
              <w:rPr>
                <w:rStyle w:val="33"/>
                <w:rFonts w:hint="default" w:ascii="仿宋_GB2312" w:hAnsi="方正仿宋简体" w:eastAsia="仿宋_GB2312" w:cs="仿宋_GB2312"/>
                <w:color w:val="auto"/>
                <w:kern w:val="2"/>
                <w:sz w:val="24"/>
                <w:szCs w:val="24"/>
                <w:lang w:val="en-US" w:eastAsia="zh-CN" w:bidi="ar"/>
              </w:rPr>
              <w:t>32</w:t>
            </w:r>
          </w:p>
        </w:tc>
        <w:tc>
          <w:tcPr>
            <w:tcW w:w="843"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仿宋_GB2312" w:hAnsi="方正仿宋简体" w:eastAsia="仿宋_GB2312" w:cs="方正仿宋简体"/>
                <w:color w:val="auto"/>
                <w:kern w:val="2"/>
                <w:sz w:val="24"/>
                <w:szCs w:val="24"/>
                <w:lang w:val="en-US" w:eastAsia="zh-CN" w:bidi="ar-SA"/>
              </w:rPr>
            </w:pPr>
            <w:r>
              <w:rPr>
                <w:rStyle w:val="33"/>
                <w:rFonts w:hint="default" w:ascii="仿宋_GB2312" w:hAnsi="方正仿宋简体" w:eastAsia="仿宋_GB2312" w:cs="仿宋_GB2312"/>
                <w:color w:val="auto"/>
                <w:kern w:val="2"/>
                <w:sz w:val="24"/>
                <w:szCs w:val="24"/>
                <w:lang w:val="en-US" w:eastAsia="zh-CN" w:bidi="ar"/>
              </w:rPr>
              <w:t>2</w:t>
            </w:r>
          </w:p>
        </w:tc>
        <w:tc>
          <w:tcPr>
            <w:tcW w:w="3419"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仿宋_GB2312" w:hAnsi="方正仿宋简体" w:eastAsia="仿宋_GB2312" w:cs="方正仿宋简体"/>
                <w:color w:val="auto"/>
                <w:kern w:val="2"/>
                <w:sz w:val="24"/>
                <w:szCs w:val="24"/>
                <w:lang w:val="en-US" w:eastAsia="zh-CN" w:bidi="ar-SA"/>
              </w:rPr>
            </w:pPr>
            <w:r>
              <w:rPr>
                <w:rStyle w:val="33"/>
                <w:rFonts w:hint="default" w:ascii="仿宋_GB2312" w:hAnsi="方正仿宋简体" w:eastAsia="仿宋_GB2312" w:cs="仿宋_GB2312"/>
                <w:color w:val="auto"/>
                <w:kern w:val="2"/>
                <w:sz w:val="24"/>
                <w:szCs w:val="24"/>
                <w:lang w:val="en-US" w:eastAsia="zh-CN" w:bidi="ar"/>
              </w:rPr>
              <w:t>吴学仕副教授、高明博士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仿宋_GB2312" w:hAnsi="方正仿宋简体" w:eastAsia="仿宋_GB2312" w:cs="方正仿宋简体"/>
                <w:color w:val="auto"/>
                <w:kern w:val="2"/>
                <w:sz w:val="24"/>
                <w:szCs w:val="24"/>
                <w:lang w:val="en-US" w:eastAsia="zh-CN" w:bidi="ar-SA"/>
              </w:rPr>
            </w:pPr>
            <w:r>
              <w:rPr>
                <w:rStyle w:val="33"/>
                <w:rFonts w:hint="default" w:ascii="仿宋_GB2312" w:hAnsi="方正仿宋简体" w:eastAsia="仿宋_GB2312" w:cs="仿宋_GB2312"/>
                <w:color w:val="auto"/>
                <w:kern w:val="2"/>
                <w:sz w:val="24"/>
                <w:szCs w:val="24"/>
                <w:lang w:val="en-US" w:eastAsia="zh-CN" w:bidi="ar"/>
              </w:rPr>
              <w:t>学术道德与论文写作</w:t>
            </w:r>
          </w:p>
        </w:tc>
        <w:tc>
          <w:tcPr>
            <w:tcW w:w="1401"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仿宋_GB2312" w:hAnsi="方正仿宋简体" w:eastAsia="仿宋_GB2312" w:cs="方正仿宋简体"/>
                <w:color w:val="auto"/>
                <w:kern w:val="2"/>
                <w:sz w:val="24"/>
                <w:szCs w:val="24"/>
                <w:lang w:val="en-US" w:eastAsia="zh-CN" w:bidi="ar-SA"/>
              </w:rPr>
            </w:pPr>
            <w:r>
              <w:rPr>
                <w:rStyle w:val="33"/>
                <w:rFonts w:hint="default" w:ascii="仿宋_GB2312" w:hAnsi="方正仿宋简体" w:eastAsia="仿宋_GB2312" w:cs="仿宋_GB2312"/>
                <w:color w:val="auto"/>
                <w:kern w:val="2"/>
                <w:sz w:val="24"/>
                <w:szCs w:val="24"/>
                <w:lang w:val="en-US" w:eastAsia="zh-CN" w:bidi="ar"/>
              </w:rPr>
              <w:t>16</w:t>
            </w:r>
          </w:p>
        </w:tc>
        <w:tc>
          <w:tcPr>
            <w:tcW w:w="843"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仿宋_GB2312" w:hAnsi="方正仿宋简体" w:eastAsia="仿宋_GB2312" w:cs="方正仿宋简体"/>
                <w:color w:val="auto"/>
                <w:kern w:val="2"/>
                <w:sz w:val="24"/>
                <w:szCs w:val="24"/>
                <w:lang w:val="en-US" w:eastAsia="zh-CN" w:bidi="ar-SA"/>
              </w:rPr>
            </w:pPr>
            <w:r>
              <w:rPr>
                <w:rStyle w:val="33"/>
                <w:rFonts w:hint="default" w:ascii="仿宋_GB2312" w:hAnsi="方正仿宋简体" w:eastAsia="仿宋_GB2312" w:cs="仿宋_GB2312"/>
                <w:color w:val="auto"/>
                <w:kern w:val="2"/>
                <w:sz w:val="24"/>
                <w:szCs w:val="24"/>
                <w:lang w:val="en-US" w:eastAsia="zh-CN" w:bidi="ar"/>
              </w:rPr>
              <w:t>1</w:t>
            </w:r>
          </w:p>
        </w:tc>
        <w:tc>
          <w:tcPr>
            <w:tcW w:w="3419"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仿宋_GB2312" w:hAnsi="方正仿宋简体" w:eastAsia="仿宋_GB2312" w:cs="方正仿宋简体"/>
                <w:color w:val="auto"/>
                <w:kern w:val="2"/>
                <w:sz w:val="24"/>
                <w:szCs w:val="24"/>
                <w:lang w:val="en-US" w:eastAsia="zh-CN" w:bidi="ar-SA"/>
              </w:rPr>
            </w:pPr>
            <w:r>
              <w:rPr>
                <w:rStyle w:val="33"/>
                <w:rFonts w:hint="default" w:ascii="仿宋_GB2312" w:hAnsi="方正仿宋简体" w:eastAsia="仿宋_GB2312" w:cs="仿宋_GB2312"/>
                <w:color w:val="auto"/>
                <w:kern w:val="2"/>
                <w:sz w:val="24"/>
                <w:szCs w:val="24"/>
                <w:lang w:val="en-US" w:eastAsia="zh-CN" w:bidi="ar"/>
              </w:rPr>
              <w:t>吴学仕副教授、舒斯亮副教授</w:t>
            </w:r>
          </w:p>
        </w:tc>
      </w:tr>
    </w:tbl>
    <w:p>
      <w:pPr>
        <w:snapToGrid w:val="0"/>
        <w:spacing w:line="360" w:lineRule="auto"/>
        <w:jc w:val="center"/>
        <w:rPr>
          <w:rStyle w:val="26"/>
          <w:rFonts w:ascii="仿宋_GB2312" w:hAnsi="方正仿宋简体" w:eastAsia="仿宋_GB2312" w:cs="方正仿宋简体"/>
          <w:b/>
          <w:bCs/>
          <w:sz w:val="28"/>
          <w:szCs w:val="28"/>
        </w:rPr>
      </w:pPr>
    </w:p>
    <w:p>
      <w:pPr>
        <w:snapToGrid w:val="0"/>
        <w:spacing w:line="360" w:lineRule="auto"/>
        <w:jc w:val="center"/>
        <w:rPr>
          <w:rStyle w:val="26"/>
          <w:rFonts w:ascii="仿宋_GB2312" w:hAnsi="方正仿宋简体" w:eastAsia="仿宋_GB2312" w:cs="方正仿宋简体"/>
          <w:b/>
          <w:bCs/>
          <w:sz w:val="22"/>
          <w:szCs w:val="30"/>
        </w:rPr>
      </w:pPr>
      <w:r>
        <w:rPr>
          <w:rStyle w:val="26"/>
          <w:rFonts w:hint="eastAsia" w:ascii="仿宋_GB2312" w:hAnsi="方正仿宋简体" w:eastAsia="仿宋_GB2312" w:cs="方正仿宋简体"/>
          <w:b/>
          <w:bCs/>
          <w:sz w:val="22"/>
          <w:szCs w:val="30"/>
        </w:rPr>
        <w:t>表3 旅游管理专业硕士学位研究生专业核心课程设置与主讲教师</w:t>
      </w:r>
    </w:p>
    <w:tbl>
      <w:tblPr>
        <w:tblStyle w:val="13"/>
        <w:tblW w:w="8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920"/>
        <w:gridCol w:w="1030"/>
        <w:gridCol w:w="3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rPr>
        <w:tc>
          <w:tcPr>
            <w:tcW w:w="3266" w:type="dxa"/>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b/>
                <w:bCs/>
              </w:rPr>
            </w:pPr>
            <w:r>
              <w:rPr>
                <w:rStyle w:val="26"/>
                <w:rFonts w:hint="eastAsia" w:ascii="仿宋_GB2312" w:hAnsi="方正仿宋简体" w:eastAsia="仿宋_GB2312" w:cs="方正仿宋简体"/>
                <w:b/>
                <w:bCs/>
              </w:rPr>
              <w:t>课程名称</w:t>
            </w:r>
          </w:p>
        </w:tc>
        <w:tc>
          <w:tcPr>
            <w:tcW w:w="920" w:type="dxa"/>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b/>
                <w:bCs/>
              </w:rPr>
            </w:pPr>
            <w:r>
              <w:rPr>
                <w:rStyle w:val="26"/>
                <w:rFonts w:hint="eastAsia" w:ascii="仿宋_GB2312" w:hAnsi="方正仿宋简体" w:eastAsia="仿宋_GB2312" w:cs="方正仿宋简体"/>
                <w:b/>
                <w:bCs/>
              </w:rPr>
              <w:t>学时</w:t>
            </w:r>
          </w:p>
        </w:tc>
        <w:tc>
          <w:tcPr>
            <w:tcW w:w="1030" w:type="dxa"/>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b/>
                <w:bCs/>
              </w:rPr>
            </w:pPr>
            <w:r>
              <w:rPr>
                <w:rStyle w:val="26"/>
                <w:rFonts w:hint="eastAsia" w:ascii="仿宋_GB2312" w:hAnsi="方正仿宋简体" w:eastAsia="仿宋_GB2312" w:cs="方正仿宋简体"/>
                <w:b/>
                <w:bCs/>
              </w:rPr>
              <w:t>学分</w:t>
            </w:r>
          </w:p>
        </w:tc>
        <w:tc>
          <w:tcPr>
            <w:tcW w:w="3407" w:type="dxa"/>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b/>
                <w:bCs/>
              </w:rPr>
            </w:pPr>
            <w:r>
              <w:rPr>
                <w:rStyle w:val="26"/>
                <w:rFonts w:hint="eastAsia" w:ascii="仿宋_GB2312" w:hAnsi="方正仿宋简体" w:eastAsia="仿宋_GB2312" w:cs="方正仿宋简体"/>
                <w:b/>
                <w:bCs/>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66"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旅游消费行为学</w:t>
            </w:r>
          </w:p>
        </w:tc>
        <w:tc>
          <w:tcPr>
            <w:tcW w:w="920"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32</w:t>
            </w:r>
          </w:p>
        </w:tc>
        <w:tc>
          <w:tcPr>
            <w:tcW w:w="1030"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2</w:t>
            </w:r>
          </w:p>
        </w:tc>
        <w:tc>
          <w:tcPr>
            <w:tcW w:w="3407"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高明博士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旅游目的地营销</w:t>
            </w:r>
          </w:p>
        </w:tc>
        <w:tc>
          <w:tcPr>
            <w:tcW w:w="920"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32</w:t>
            </w:r>
          </w:p>
        </w:tc>
        <w:tc>
          <w:tcPr>
            <w:tcW w:w="1030"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2</w:t>
            </w:r>
          </w:p>
        </w:tc>
        <w:tc>
          <w:tcPr>
            <w:tcW w:w="3407"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周丹敏博士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旅游研究方法</w:t>
            </w:r>
          </w:p>
        </w:tc>
        <w:tc>
          <w:tcPr>
            <w:tcW w:w="920"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32</w:t>
            </w:r>
          </w:p>
        </w:tc>
        <w:tc>
          <w:tcPr>
            <w:tcW w:w="1030"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2</w:t>
            </w:r>
          </w:p>
        </w:tc>
        <w:tc>
          <w:tcPr>
            <w:tcW w:w="3407"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谢冬明教授、博士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大数据与智慧旅游</w:t>
            </w:r>
          </w:p>
        </w:tc>
        <w:tc>
          <w:tcPr>
            <w:tcW w:w="920"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32</w:t>
            </w:r>
          </w:p>
        </w:tc>
        <w:tc>
          <w:tcPr>
            <w:tcW w:w="1030"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2</w:t>
            </w:r>
          </w:p>
        </w:tc>
        <w:tc>
          <w:tcPr>
            <w:tcW w:w="3407"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刘传喜副教授、博士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服务经济与服务性企业管理</w:t>
            </w:r>
          </w:p>
        </w:tc>
        <w:tc>
          <w:tcPr>
            <w:tcW w:w="920"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32</w:t>
            </w:r>
          </w:p>
        </w:tc>
        <w:tc>
          <w:tcPr>
            <w:tcW w:w="1030"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2</w:t>
            </w:r>
          </w:p>
        </w:tc>
        <w:tc>
          <w:tcPr>
            <w:tcW w:w="3407"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李志强副教授、博士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旅游规划理论与实践</w:t>
            </w:r>
          </w:p>
        </w:tc>
        <w:tc>
          <w:tcPr>
            <w:tcW w:w="920"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32</w:t>
            </w:r>
          </w:p>
        </w:tc>
        <w:tc>
          <w:tcPr>
            <w:tcW w:w="1030"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2</w:t>
            </w:r>
          </w:p>
        </w:tc>
        <w:tc>
          <w:tcPr>
            <w:tcW w:w="3407" w:type="dxa"/>
            <w:vAlign w:val="center"/>
          </w:tcPr>
          <w:p>
            <w:pPr>
              <w:keepNext w:val="0"/>
              <w:keepLines w:val="0"/>
              <w:suppressLineNumbers w:val="0"/>
              <w:spacing w:before="0" w:beforeAutospacing="0" w:after="0" w:afterAutospacing="0" w:line="360" w:lineRule="auto"/>
              <w:ind w:left="0" w:right="0"/>
              <w:jc w:val="left"/>
              <w:rPr>
                <w:rStyle w:val="26"/>
                <w:rFonts w:hint="default" w:ascii="仿宋_GB2312" w:hAnsi="方正仿宋简体" w:eastAsia="仿宋_GB2312" w:cs="方正仿宋简体"/>
              </w:rPr>
            </w:pPr>
            <w:r>
              <w:rPr>
                <w:rStyle w:val="26"/>
                <w:rFonts w:hint="eastAsia" w:ascii="仿宋_GB2312" w:hAnsi="方正仿宋简体" w:eastAsia="仿宋_GB2312" w:cs="方正仿宋简体"/>
              </w:rPr>
              <w:t>钟家雨博士及企业教师</w:t>
            </w:r>
          </w:p>
        </w:tc>
      </w:tr>
    </w:tbl>
    <w:p>
      <w:pPr>
        <w:pStyle w:val="9"/>
        <w:rPr>
          <w:rFonts w:hint="eastAsia"/>
        </w:rPr>
      </w:pPr>
    </w:p>
    <w:p>
      <w:pPr>
        <w:spacing w:line="360" w:lineRule="auto"/>
        <w:ind w:firstLine="562" w:firstLineChars="200"/>
        <w:rPr>
          <w:rStyle w:val="26"/>
          <w:rFonts w:ascii="仿宋_GB2312" w:hAnsi="方正仿宋简体" w:eastAsia="仿宋_GB2312" w:cs="方正仿宋简体"/>
          <w:b/>
          <w:bCs/>
          <w:sz w:val="28"/>
          <w:szCs w:val="28"/>
        </w:rPr>
      </w:pPr>
      <w:r>
        <w:rPr>
          <w:rStyle w:val="26"/>
          <w:rFonts w:hint="eastAsia" w:ascii="仿宋_GB2312" w:hAnsi="方正仿宋简体" w:eastAsia="仿宋_GB2312" w:cs="方正仿宋简体"/>
          <w:b/>
          <w:bCs/>
          <w:sz w:val="28"/>
          <w:szCs w:val="28"/>
        </w:rPr>
        <w:t>1.2教研教改效果良好</w:t>
      </w:r>
    </w:p>
    <w:p>
      <w:pPr>
        <w:spacing w:line="360" w:lineRule="auto"/>
        <w:ind w:firstLine="560" w:firstLineChars="20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sz w:val="28"/>
          <w:szCs w:val="21"/>
        </w:rPr>
        <w:t>本学位点在教研教改方面取得了一定的成就。202</w:t>
      </w:r>
      <w:r>
        <w:rPr>
          <w:rStyle w:val="26"/>
          <w:rFonts w:ascii="仿宋_GB2312" w:hAnsi="方正仿宋简体" w:eastAsia="仿宋_GB2312" w:cs="方正仿宋简体"/>
          <w:sz w:val="28"/>
          <w:szCs w:val="21"/>
        </w:rPr>
        <w:t>3</w:t>
      </w:r>
      <w:r>
        <w:rPr>
          <w:rStyle w:val="26"/>
          <w:rFonts w:hint="eastAsia" w:ascii="仿宋_GB2312" w:hAnsi="方正仿宋简体" w:eastAsia="仿宋_GB2312" w:cs="方正仿宋简体"/>
          <w:sz w:val="28"/>
          <w:szCs w:val="21"/>
        </w:rPr>
        <w:t>年度，本学位点获批教育部就业育人课题</w:t>
      </w:r>
      <w:r>
        <w:rPr>
          <w:rStyle w:val="26"/>
          <w:rFonts w:ascii="仿宋_GB2312" w:hAnsi="方正仿宋简体" w:eastAsia="仿宋_GB2312" w:cs="方正仿宋简体"/>
          <w:sz w:val="28"/>
          <w:szCs w:val="21"/>
        </w:rPr>
        <w:t>4</w:t>
      </w:r>
      <w:r>
        <w:rPr>
          <w:rStyle w:val="26"/>
          <w:rFonts w:hint="eastAsia" w:ascii="仿宋_GB2312" w:hAnsi="方正仿宋简体" w:eastAsia="仿宋_GB2312" w:cs="方正仿宋简体"/>
          <w:sz w:val="28"/>
          <w:szCs w:val="21"/>
        </w:rPr>
        <w:t>项，江西省教育厅教研教改课题</w:t>
      </w:r>
      <w:r>
        <w:rPr>
          <w:rStyle w:val="26"/>
          <w:rFonts w:ascii="仿宋_GB2312" w:hAnsi="方正仿宋简体" w:eastAsia="仿宋_GB2312" w:cs="方正仿宋简体"/>
          <w:sz w:val="28"/>
          <w:szCs w:val="21"/>
        </w:rPr>
        <w:t>3</w:t>
      </w:r>
      <w:r>
        <w:rPr>
          <w:rStyle w:val="26"/>
          <w:rFonts w:hint="eastAsia" w:ascii="仿宋_GB2312" w:hAnsi="方正仿宋简体" w:eastAsia="仿宋_GB2312" w:cs="方正仿宋简体"/>
          <w:sz w:val="28"/>
          <w:szCs w:val="21"/>
        </w:rPr>
        <w:t>项，何建波教授主持的《基于“四共”理念的旅游管理一流专业“三四五六”实践育人体系的构建与实践》获省级教学成果奖二等奖1项，刘斌教授主持的《</w:t>
      </w:r>
      <w:r>
        <w:rPr>
          <w:rStyle w:val="26"/>
          <w:rFonts w:hint="eastAsia" w:ascii="仿宋_GB2312" w:hAnsi="方正仿宋简体" w:eastAsia="仿宋_GB2312" w:cs="方正仿宋简体"/>
          <w:sz w:val="28"/>
        </w:rPr>
        <w:t>“新商科”背景下职技高师院校&lt;中级财务会计&gt;“四合”教学创新与实践</w:t>
      </w:r>
      <w:r>
        <w:rPr>
          <w:rStyle w:val="26"/>
          <w:rFonts w:hint="eastAsia" w:ascii="仿宋_GB2312" w:hAnsi="方正仿宋简体" w:eastAsia="仿宋_GB2312" w:cs="方正仿宋简体"/>
          <w:sz w:val="28"/>
          <w:szCs w:val="21"/>
        </w:rPr>
        <w:t>》获得中国商业经济学会优秀成果一等奖，曾颢老师主讲的《组织行为学》获得</w:t>
      </w:r>
      <w:bookmarkStart w:id="2" w:name="_Hlk156049256"/>
      <w:r>
        <w:rPr>
          <w:rStyle w:val="26"/>
          <w:rFonts w:hint="eastAsia" w:ascii="仿宋_GB2312" w:hAnsi="方正仿宋简体" w:eastAsia="仿宋_GB2312" w:cs="方正仿宋简体"/>
          <w:sz w:val="28"/>
          <w:szCs w:val="21"/>
        </w:rPr>
        <w:t>江西省研究生优质课程和案例建设项目</w:t>
      </w:r>
      <w:bookmarkEnd w:id="2"/>
      <w:r>
        <w:rPr>
          <w:rStyle w:val="26"/>
          <w:rFonts w:hint="eastAsia" w:ascii="仿宋_GB2312" w:hAnsi="方正仿宋简体" w:eastAsia="仿宋_GB2312" w:cs="方正仿宋简体"/>
          <w:sz w:val="28"/>
          <w:szCs w:val="21"/>
        </w:rPr>
        <w:t>，汤新发老师主讲的</w:t>
      </w:r>
      <w:r>
        <w:rPr>
          <w:rStyle w:val="26"/>
          <w:rFonts w:hint="eastAsia" w:ascii="仿宋_GB2312" w:hAnsi="方正仿宋简体" w:eastAsia="仿宋_GB2312" w:cs="方正仿宋简体"/>
          <w:sz w:val="28"/>
        </w:rPr>
        <w:t>《技术经济学》转化课获得江西省研究生优质课程和案例建设项目</w:t>
      </w:r>
      <w:r>
        <w:rPr>
          <w:rStyle w:val="26"/>
          <w:rFonts w:hint="eastAsia" w:ascii="仿宋_GB2312" w:hAnsi="方正仿宋简体" w:eastAsia="仿宋_GB2312" w:cs="方正仿宋简体"/>
          <w:sz w:val="28"/>
          <w:szCs w:val="21"/>
        </w:rPr>
        <w:t>。</w:t>
      </w:r>
    </w:p>
    <w:p>
      <w:pPr>
        <w:spacing w:line="360" w:lineRule="auto"/>
        <w:ind w:firstLine="560" w:firstLineChars="200"/>
        <w:rPr>
          <w:rStyle w:val="26"/>
          <w:rFonts w:hint="default" w:ascii="仿宋_GB2312" w:hAnsi="方正仿宋简体" w:eastAsia="仿宋_GB2312" w:cs="方正仿宋简体"/>
          <w:sz w:val="28"/>
          <w:szCs w:val="21"/>
          <w:lang w:val="en-US"/>
        </w:rPr>
      </w:pPr>
      <w:r>
        <w:rPr>
          <w:rStyle w:val="26"/>
          <w:rFonts w:hint="eastAsia" w:ascii="仿宋_GB2312" w:hAnsi="方正仿宋简体" w:eastAsia="仿宋_GB2312" w:cs="方正仿宋简体"/>
          <w:sz w:val="28"/>
          <w:szCs w:val="21"/>
        </w:rPr>
        <w:t>在教学方面提倡研讨式教学，讲授与自学相结合，以文献阅读、课堂分享等方式加强研究生科研能力的培养，提高研究生分析、解决问题的能力，</w:t>
      </w:r>
      <w:r>
        <w:rPr>
          <w:rStyle w:val="26"/>
          <w:rFonts w:hint="eastAsia" w:ascii="仿宋_GB2312" w:hAnsi="方正仿宋简体" w:eastAsia="仿宋_GB2312" w:cs="方正仿宋简体"/>
          <w:sz w:val="28"/>
          <w:szCs w:val="21"/>
          <w:lang w:val="en-US"/>
        </w:rPr>
        <w:t>如李志强教授获批国家级线上线下混合一流课程教程《现代旅行社经营与管理》。</w:t>
      </w:r>
    </w:p>
    <w:p>
      <w:pPr>
        <w:spacing w:line="360" w:lineRule="auto"/>
        <w:ind w:firstLine="562" w:firstLineChars="200"/>
        <w:rPr>
          <w:rStyle w:val="26"/>
          <w:rFonts w:ascii="仿宋_GB2312" w:hAnsi="方正仿宋简体" w:eastAsia="仿宋_GB2312" w:cs="方正仿宋简体"/>
          <w:b/>
          <w:bCs/>
          <w:sz w:val="28"/>
          <w:szCs w:val="28"/>
        </w:rPr>
      </w:pPr>
      <w:r>
        <w:rPr>
          <w:rStyle w:val="26"/>
          <w:rFonts w:hint="eastAsia" w:ascii="仿宋_GB2312" w:hAnsi="方正仿宋简体" w:eastAsia="仿宋_GB2312" w:cs="方正仿宋简体"/>
          <w:b/>
          <w:bCs/>
          <w:sz w:val="28"/>
          <w:szCs w:val="28"/>
        </w:rPr>
        <w:t>1.3建立健全了课程教学质量和保障措施体系</w:t>
      </w:r>
    </w:p>
    <w:p>
      <w:pPr>
        <w:spacing w:line="360" w:lineRule="auto"/>
        <w:ind w:firstLine="560" w:firstLineChars="20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sz w:val="28"/>
          <w:szCs w:val="21"/>
        </w:rPr>
        <w:t>本学位点为了达到“提高研究生培养质量”核心目标，在保持生师比2:1的条件下采用精准教育、量身定制了新进研究生的职业规划，同时不断创新研究生培养机制，建立健全了课程教学质量和保障体系（《江西科技师范大学硕士研究生课程学习及成绩管理办法》等）：</w:t>
      </w:r>
    </w:p>
    <w:p>
      <w:pPr>
        <w:spacing w:line="360" w:lineRule="auto"/>
        <w:ind w:firstLine="560" w:firstLineChars="20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sz w:val="28"/>
          <w:szCs w:val="21"/>
        </w:rPr>
        <w:t>一是建立了完善的教学评价与反馈机制。学位点对教学质量管理非常重视，建立了规范有效的教学评价机制。通过以评促教、以评促改，推动工商管理硕士研究生课程建设与改革。</w:t>
      </w:r>
    </w:p>
    <w:p>
      <w:pPr>
        <w:spacing w:line="360" w:lineRule="auto"/>
        <w:ind w:firstLine="560" w:firstLineChars="20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sz w:val="28"/>
          <w:szCs w:val="21"/>
        </w:rPr>
        <w:t>二是定期开展评教评学活动，课程教学效果好，学生满意度高达90%以上，学位点对每学期所开设的课程都进行大面积的检查，并了解学生意见。</w:t>
      </w:r>
    </w:p>
    <w:p>
      <w:pPr>
        <w:widowControl/>
        <w:spacing w:line="560" w:lineRule="exact"/>
        <w:ind w:firstLine="643" w:firstLineChars="200"/>
        <w:textAlignment w:val="baseline"/>
        <w:rPr>
          <w:rStyle w:val="26"/>
          <w:rFonts w:ascii="仿宋_GB2312" w:hAnsi="黑体" w:eastAsia="仿宋_GB2312" w:cs="黑体"/>
          <w:b/>
          <w:sz w:val="32"/>
          <w:szCs w:val="32"/>
        </w:rPr>
      </w:pPr>
      <w:r>
        <w:rPr>
          <w:rStyle w:val="26"/>
          <w:rFonts w:hint="eastAsia" w:ascii="仿宋_GB2312" w:hAnsi="黑体" w:eastAsia="仿宋_GB2312" w:cs="黑体"/>
          <w:b/>
          <w:sz w:val="32"/>
          <w:szCs w:val="32"/>
        </w:rPr>
        <w:t>（二）导师选拔培训</w:t>
      </w:r>
    </w:p>
    <w:p>
      <w:pPr>
        <w:spacing w:line="360" w:lineRule="auto"/>
        <w:ind w:firstLine="562" w:firstLineChars="200"/>
        <w:rPr>
          <w:rStyle w:val="26"/>
          <w:rFonts w:ascii="仿宋_GB2312" w:hAnsi="方正仿宋简体" w:eastAsia="仿宋_GB2312" w:cs="方正仿宋简体"/>
          <w:b/>
          <w:bCs/>
          <w:sz w:val="28"/>
          <w:szCs w:val="28"/>
        </w:rPr>
      </w:pPr>
      <w:r>
        <w:rPr>
          <w:rStyle w:val="26"/>
          <w:rFonts w:hint="eastAsia" w:ascii="仿宋_GB2312" w:hAnsi="方正仿宋简体" w:eastAsia="仿宋_GB2312" w:cs="方正仿宋简体"/>
          <w:b/>
          <w:bCs/>
          <w:sz w:val="28"/>
          <w:szCs w:val="28"/>
        </w:rPr>
        <w:t>2.1建立完备的教师管理制度</w:t>
      </w:r>
    </w:p>
    <w:p>
      <w:pPr>
        <w:spacing w:line="360" w:lineRule="auto"/>
        <w:ind w:firstLine="560" w:firstLineChars="20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sz w:val="28"/>
          <w:szCs w:val="21"/>
        </w:rPr>
        <w:t>本学位点在教师管理方面先后制定实施了《江西科技师范学院硕士研究生指导教师考核管理办法（试行）》等文件。这些文件明确了导师以及全体任课教师的选聘、考核、监督、激励等相关管理规定。</w:t>
      </w:r>
    </w:p>
    <w:p>
      <w:pPr>
        <w:spacing w:line="360" w:lineRule="auto"/>
        <w:ind w:firstLine="562" w:firstLineChars="200"/>
        <w:rPr>
          <w:rStyle w:val="26"/>
          <w:rFonts w:ascii="仿宋_GB2312" w:hAnsi="方正仿宋简体" w:eastAsia="仿宋_GB2312" w:cs="方正仿宋简体"/>
          <w:b/>
          <w:bCs/>
          <w:sz w:val="28"/>
          <w:szCs w:val="28"/>
        </w:rPr>
      </w:pPr>
      <w:r>
        <w:rPr>
          <w:rStyle w:val="26"/>
          <w:rFonts w:hint="eastAsia" w:ascii="仿宋_GB2312" w:hAnsi="方正仿宋简体" w:eastAsia="仿宋_GB2312" w:cs="方正仿宋简体"/>
          <w:b/>
          <w:bCs/>
          <w:sz w:val="28"/>
          <w:szCs w:val="28"/>
        </w:rPr>
        <w:t>2.2建立了硕导个人资料库</w:t>
      </w:r>
    </w:p>
    <w:p>
      <w:pPr>
        <w:spacing w:line="360" w:lineRule="auto"/>
        <w:ind w:firstLine="560" w:firstLineChars="20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sz w:val="28"/>
          <w:szCs w:val="21"/>
        </w:rPr>
        <w:t>由专门的管理人员对资料库实行动态管理，并根据教师的流动情况随时更新教师基本信息和科研成果。</w:t>
      </w:r>
    </w:p>
    <w:p>
      <w:pPr>
        <w:widowControl/>
        <w:spacing w:line="560" w:lineRule="exact"/>
        <w:ind w:firstLine="643" w:firstLineChars="200"/>
        <w:textAlignment w:val="baseline"/>
        <w:rPr>
          <w:rStyle w:val="26"/>
          <w:rFonts w:ascii="仿宋_GB2312" w:hAnsi="黑体" w:eastAsia="仿宋_GB2312" w:cs="黑体"/>
          <w:b/>
          <w:sz w:val="32"/>
          <w:szCs w:val="32"/>
        </w:rPr>
      </w:pPr>
      <w:r>
        <w:rPr>
          <w:rStyle w:val="26"/>
          <w:rFonts w:hint="eastAsia" w:ascii="仿宋_GB2312" w:hAnsi="黑体" w:eastAsia="仿宋_GB2312" w:cs="黑体"/>
          <w:b/>
          <w:sz w:val="32"/>
          <w:szCs w:val="32"/>
        </w:rPr>
        <w:t>（三）师德师风建设情况</w:t>
      </w:r>
    </w:p>
    <w:p>
      <w:pPr>
        <w:spacing w:line="360" w:lineRule="auto"/>
        <w:ind w:firstLine="560" w:firstLineChars="20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sz w:val="28"/>
          <w:szCs w:val="21"/>
        </w:rPr>
        <w:t>本学位授权点创新师德教育、加强师德宣传、优化管理服务、强化师德考核，大力推进师德师风建设，营造师风好教风好的校园氛围。</w:t>
      </w:r>
    </w:p>
    <w:p>
      <w:pPr>
        <w:spacing w:line="360" w:lineRule="auto"/>
        <w:ind w:firstLine="560" w:firstLineChars="20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sz w:val="28"/>
          <w:szCs w:val="21"/>
        </w:rPr>
        <w:t>举好一面旗，创新师德教育。多平台、多渠道、多形式深入学习贯彻习近平新时代中国特色社会主义思想和党的</w:t>
      </w:r>
      <w:r>
        <w:rPr>
          <w:rStyle w:val="26"/>
          <w:rFonts w:hint="eastAsia" w:ascii="仿宋_GB2312" w:hAnsi="方正仿宋简体" w:eastAsia="仿宋_GB2312" w:cs="方正仿宋简体"/>
          <w:sz w:val="28"/>
          <w:szCs w:val="21"/>
          <w:lang w:val="en-US"/>
        </w:rPr>
        <w:t>二十</w:t>
      </w:r>
      <w:bookmarkStart w:id="7" w:name="_GoBack"/>
      <w:bookmarkEnd w:id="7"/>
      <w:r>
        <w:rPr>
          <w:rStyle w:val="26"/>
          <w:rFonts w:hint="eastAsia" w:ascii="仿宋_GB2312" w:hAnsi="方正仿宋简体" w:eastAsia="仿宋_GB2312" w:cs="方正仿宋简体"/>
          <w:sz w:val="28"/>
          <w:szCs w:val="21"/>
        </w:rPr>
        <w:t>大精神，开展“信仰的力量”师生党员专题宣讲，组织教职工开展“争做四有教师 培育时代新人”专题政治理论学习。在新教师入职培训中开设师德教育专题，在教师资格培训中系统讲授“高校教师职业道德规范”，将师德教育作为培育优秀教师团队、骨干教师的重要内容。深化师德教育内涵，组建科技专家队伍，定期为市民普及科技知识，到定点扶贫县（莲花县、共青城）开展科技帮扶活动，助力精准扶贫。</w:t>
      </w:r>
    </w:p>
    <w:p>
      <w:pPr>
        <w:spacing w:line="360" w:lineRule="auto"/>
        <w:ind w:firstLine="560" w:firstLineChars="20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sz w:val="28"/>
          <w:szCs w:val="21"/>
        </w:rPr>
        <w:t>唱响一首曲，加强师德宣传。把培育良好师德作为校园文化建设的核心内容，开展教学名师、金牌硕导评比、宣讲、展示等活动，引导广大教师潜心治学治教。聆听专家“科学精神与诚信教育”宣讲报告，邀请优秀青年教师开展教学科研经验分享会，营造风清气正的师德师风氛围。</w:t>
      </w:r>
    </w:p>
    <w:p>
      <w:pPr>
        <w:spacing w:line="360" w:lineRule="auto"/>
        <w:ind w:firstLine="560" w:firstLineChars="20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sz w:val="28"/>
          <w:szCs w:val="21"/>
        </w:rPr>
        <w:t>拧紧一股绳，优化管理服务。由校院领导小组统一领导教师党建与思想政治工作，师德建设委员会统筹管理和实施师德师风建设工作，多举措落实师德培训入脑入心。支持教师国内外访学、依规挂职创业，落实大病资助、心理帮扶等措施，开展教师座谈会、青年教师沙龙等。动员教师参与学校民主管理，激发教师主人翁意识。</w:t>
      </w:r>
    </w:p>
    <w:p>
      <w:pPr>
        <w:spacing w:line="360" w:lineRule="auto"/>
        <w:ind w:firstLine="560" w:firstLineChars="20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sz w:val="28"/>
          <w:szCs w:val="21"/>
        </w:rPr>
        <w:t>织好一张网，强化师德考核。突出对新入职教师的思想政治状况审查。在教学督导、人才引进、岗位聘任、职称评审等环节建立考核协同联动机制，分析制定师德考核标准。把思想政治表现和课堂教学质量作为教师考核的首要标准，将考核结果存入教师档案。开展师德典型选树和表彰活动，将师德表现作为评奖评优的首要条件。健全信访申诉、校长信箱、法律事务受理机制，及时掌握师德信息动态。加大督查督办力度，构建学校、教师、学生、家长和社会多方参与的师德监督体系。</w:t>
      </w:r>
    </w:p>
    <w:p>
      <w:pPr>
        <w:pStyle w:val="3"/>
        <w:spacing w:line="560" w:lineRule="exact"/>
        <w:ind w:firstLine="643"/>
        <w:rPr>
          <w:rStyle w:val="26"/>
          <w:rFonts w:ascii="仿宋_GB2312" w:hAnsi="方正仿宋简体" w:eastAsia="仿宋_GB2312" w:cs="方正仿宋简体"/>
          <w:b/>
          <w:bCs/>
          <w:color w:val="auto"/>
          <w:sz w:val="32"/>
        </w:rPr>
      </w:pPr>
      <w:r>
        <w:rPr>
          <w:rStyle w:val="26"/>
          <w:rFonts w:hint="eastAsia" w:ascii="仿宋_GB2312" w:hAnsi="方正仿宋简体" w:eastAsia="仿宋_GB2312" w:cs="方正仿宋简体"/>
          <w:b/>
          <w:bCs/>
          <w:color w:val="auto"/>
          <w:sz w:val="32"/>
        </w:rPr>
        <w:t>（四）学术训练情况</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hint="eastAsia" w:ascii="仿宋_GB2312" w:hAnsi="方正仿宋简体" w:eastAsia="仿宋_GB2312" w:cs="方正仿宋简体"/>
          <w:color w:val="auto"/>
          <w:sz w:val="28"/>
          <w:szCs w:val="21"/>
        </w:rPr>
        <w:t>一是课程学习。通过学习一系列的课程，包括基础课程和专业课程，来建立扎实的学术基础。这些课程通常包括理论学习、研究方法和具体学科内容等；</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hint="eastAsia" w:ascii="仿宋_GB2312" w:hAnsi="方正仿宋简体" w:eastAsia="仿宋_GB2312" w:cs="方正仿宋简体"/>
          <w:color w:val="auto"/>
          <w:sz w:val="28"/>
          <w:szCs w:val="21"/>
        </w:rPr>
        <w:t>二是开展独立研究。学生需要选择一个研究方向，开展调查，收集和分析数据，并最终形成研究报告或论文。在这个过程中，学生需要掌握科学研究的方法和技能，包括文献综述、实验设计、数据分析等；</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hint="eastAsia" w:ascii="仿宋_GB2312" w:hAnsi="方正仿宋简体" w:eastAsia="仿宋_GB2312" w:cs="方正仿宋简体"/>
          <w:color w:val="auto"/>
          <w:sz w:val="28"/>
          <w:szCs w:val="21"/>
        </w:rPr>
        <w:t>三是开展学术交流。研究生需要参与学术交流，包括参加学术会议、发表论文和报告等。通过这些活动，学生可以了解学术界的前沿动态，展示自己的研究成果，并与其他研究者进行交流和合作；</w:t>
      </w:r>
    </w:p>
    <w:p>
      <w:pPr>
        <w:pStyle w:val="3"/>
        <w:spacing w:line="560" w:lineRule="exact"/>
        <w:ind w:firstLine="560"/>
        <w:rPr>
          <w:rStyle w:val="26"/>
          <w:rFonts w:ascii="仿宋_GB2312" w:hAnsi="方正仿宋简体" w:eastAsia="仿宋_GB2312" w:cs="方正仿宋简体"/>
          <w:color w:val="auto"/>
          <w:sz w:val="28"/>
          <w:szCs w:val="21"/>
        </w:rPr>
      </w:pPr>
      <w:r>
        <w:rPr>
          <w:rStyle w:val="26"/>
          <w:rFonts w:hint="eastAsia" w:ascii="仿宋_GB2312" w:hAnsi="方正仿宋简体" w:eastAsia="仿宋_GB2312" w:cs="方正仿宋简体"/>
          <w:color w:val="auto"/>
          <w:sz w:val="28"/>
          <w:szCs w:val="21"/>
        </w:rPr>
        <w:t>四是强化导师指导。研究生在学术训练过程中需要得到导师的指导和支持。导师及课题组为学生提供宝贵的学术建议和指导，帮助学生解决研究中遇到的问题。</w:t>
      </w:r>
    </w:p>
    <w:p>
      <w:pPr>
        <w:spacing w:line="360" w:lineRule="auto"/>
        <w:ind w:firstLine="560" w:firstLineChars="20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color w:val="auto"/>
          <w:sz w:val="28"/>
          <w:szCs w:val="21"/>
        </w:rPr>
        <w:t>202</w:t>
      </w:r>
      <w:r>
        <w:rPr>
          <w:rStyle w:val="26"/>
          <w:rFonts w:hint="eastAsia" w:ascii="仿宋_GB2312" w:hAnsi="方正仿宋简体" w:eastAsia="仿宋_GB2312" w:cs="方正仿宋简体"/>
          <w:color w:val="auto"/>
          <w:sz w:val="28"/>
          <w:szCs w:val="21"/>
          <w:lang w:val="en-US"/>
        </w:rPr>
        <w:t>3</w:t>
      </w:r>
      <w:r>
        <w:rPr>
          <w:rStyle w:val="26"/>
          <w:rFonts w:hint="eastAsia" w:ascii="仿宋_GB2312" w:hAnsi="方正仿宋简体" w:eastAsia="仿宋_GB2312" w:cs="方正仿宋简体"/>
          <w:color w:val="auto"/>
          <w:sz w:val="28"/>
          <w:szCs w:val="21"/>
        </w:rPr>
        <w:t>年度</w:t>
      </w:r>
      <w:r>
        <w:rPr>
          <w:rStyle w:val="26"/>
          <w:rFonts w:ascii="仿宋_GB2312" w:hAnsi="方正仿宋简体" w:eastAsia="仿宋_GB2312" w:cs="方正仿宋简体"/>
          <w:color w:val="auto"/>
          <w:sz w:val="28"/>
          <w:szCs w:val="21"/>
        </w:rPr>
        <w:t>，本学科共发表论文</w:t>
      </w:r>
      <w:r>
        <w:rPr>
          <w:rStyle w:val="26"/>
          <w:rFonts w:hint="eastAsia" w:ascii="仿宋_GB2312" w:hAnsi="方正仿宋简体" w:eastAsia="仿宋_GB2312" w:cs="方正仿宋简体"/>
          <w:color w:val="auto"/>
          <w:sz w:val="28"/>
          <w:szCs w:val="21"/>
        </w:rPr>
        <w:t>近</w:t>
      </w:r>
      <w:r>
        <w:rPr>
          <w:rStyle w:val="26"/>
          <w:rFonts w:hint="eastAsia" w:ascii="仿宋_GB2312" w:hAnsi="方正仿宋简体" w:eastAsia="仿宋_GB2312" w:cs="方正仿宋简体"/>
          <w:color w:val="auto"/>
          <w:sz w:val="28"/>
          <w:szCs w:val="21"/>
          <w:lang w:val="en-US"/>
        </w:rPr>
        <w:t>2</w:t>
      </w:r>
      <w:r>
        <w:rPr>
          <w:rStyle w:val="26"/>
          <w:rFonts w:hint="eastAsia" w:ascii="仿宋_GB2312" w:hAnsi="方正仿宋简体" w:eastAsia="仿宋_GB2312" w:cs="方正仿宋简体"/>
          <w:color w:val="auto"/>
          <w:sz w:val="28"/>
          <w:szCs w:val="21"/>
        </w:rPr>
        <w:t>0</w:t>
      </w:r>
      <w:r>
        <w:rPr>
          <w:rStyle w:val="26"/>
          <w:rFonts w:ascii="仿宋_GB2312" w:hAnsi="方正仿宋简体" w:eastAsia="仿宋_GB2312" w:cs="方正仿宋简体"/>
          <w:color w:val="auto"/>
          <w:sz w:val="28"/>
          <w:szCs w:val="21"/>
        </w:rPr>
        <w:t xml:space="preserve">篇，获批创新专项资金项目共 </w:t>
      </w:r>
      <w:r>
        <w:rPr>
          <w:rStyle w:val="26"/>
          <w:rFonts w:hint="eastAsia" w:ascii="仿宋_GB2312" w:hAnsi="方正仿宋简体" w:eastAsia="仿宋_GB2312" w:cs="方正仿宋简体"/>
          <w:color w:val="auto"/>
          <w:sz w:val="28"/>
          <w:szCs w:val="21"/>
          <w:lang w:val="en-US"/>
        </w:rPr>
        <w:t>1</w:t>
      </w:r>
      <w:r>
        <w:rPr>
          <w:rStyle w:val="26"/>
          <w:rFonts w:ascii="仿宋_GB2312" w:hAnsi="方正仿宋简体" w:eastAsia="仿宋_GB2312" w:cs="方正仿宋简体"/>
          <w:color w:val="auto"/>
          <w:sz w:val="28"/>
          <w:szCs w:val="21"/>
        </w:rPr>
        <w:t>项</w:t>
      </w:r>
      <w:r>
        <w:rPr>
          <w:rStyle w:val="26"/>
          <w:rFonts w:hint="eastAsia" w:ascii="仿宋_GB2312" w:hAnsi="方正仿宋简体" w:eastAsia="仿宋_GB2312" w:cs="方正仿宋简体"/>
          <w:color w:val="auto"/>
          <w:sz w:val="28"/>
          <w:szCs w:val="21"/>
        </w:rPr>
        <w:t>。</w:t>
      </w:r>
      <w:r>
        <w:rPr>
          <w:rStyle w:val="26"/>
          <w:rFonts w:hint="eastAsia" w:ascii="仿宋_GB2312" w:hAnsi="方正仿宋简体" w:eastAsia="仿宋_GB2312" w:cs="方正仿宋简体"/>
          <w:color w:val="auto"/>
          <w:sz w:val="28"/>
          <w:szCs w:val="21"/>
          <w:lang w:val="en-US"/>
        </w:rPr>
        <w:t>获得</w:t>
      </w:r>
      <w:r>
        <w:rPr>
          <w:rStyle w:val="26"/>
          <w:rFonts w:hint="eastAsia" w:ascii="仿宋_GB2312" w:hAnsi="方正仿宋简体" w:eastAsia="仿宋_GB2312" w:cs="方正仿宋简体"/>
          <w:sz w:val="28"/>
          <w:szCs w:val="21"/>
        </w:rPr>
        <w:t>“正大杯”全国大学生市场调查与分析大赛、第十八届“挑战杯”江西省大学生课外学术科技作品竞赛、省级挑战杯</w:t>
      </w:r>
      <w:r>
        <w:rPr>
          <w:rStyle w:val="26"/>
          <w:rFonts w:ascii="仿宋_GB2312" w:hAnsi="方正仿宋简体" w:eastAsia="仿宋_GB2312" w:cs="方正仿宋简体"/>
          <w:sz w:val="28"/>
          <w:szCs w:val="21"/>
        </w:rPr>
        <w:t>大赛</w:t>
      </w:r>
      <w:r>
        <w:rPr>
          <w:rStyle w:val="26"/>
          <w:rFonts w:hint="eastAsia" w:ascii="仿宋_GB2312" w:hAnsi="方正仿宋简体" w:eastAsia="仿宋_GB2312" w:cs="方正仿宋简体"/>
          <w:sz w:val="28"/>
          <w:szCs w:val="21"/>
        </w:rPr>
        <w:t>以及第二届《英语世界》杯全国大学生英语</w:t>
      </w:r>
      <w:r>
        <w:rPr>
          <w:rStyle w:val="26"/>
          <w:rFonts w:hint="eastAsia" w:ascii="仿宋_GB2312" w:hAnsi="方正仿宋简体" w:eastAsia="仿宋_GB2312" w:cs="方正仿宋简体"/>
          <w:color w:val="auto"/>
          <w:sz w:val="28"/>
          <w:szCs w:val="21"/>
        </w:rPr>
        <w:t>语法大赛</w:t>
      </w:r>
      <w:r>
        <w:rPr>
          <w:rStyle w:val="26"/>
          <w:rFonts w:hint="eastAsia" w:ascii="仿宋_GB2312" w:hAnsi="方正仿宋简体" w:eastAsia="仿宋_GB2312" w:cs="方正仿宋简体"/>
          <w:color w:val="auto"/>
          <w:sz w:val="28"/>
          <w:szCs w:val="21"/>
          <w:lang w:val="en-US"/>
        </w:rPr>
        <w:t>等奖项10余</w:t>
      </w:r>
      <w:r>
        <w:rPr>
          <w:rStyle w:val="26"/>
          <w:rFonts w:ascii="仿宋_GB2312" w:hAnsi="方正仿宋简体" w:eastAsia="仿宋_GB2312" w:cs="方正仿宋简体"/>
          <w:color w:val="auto"/>
          <w:sz w:val="28"/>
          <w:szCs w:val="21"/>
        </w:rPr>
        <w:t>项。</w:t>
      </w:r>
    </w:p>
    <w:p>
      <w:pPr>
        <w:widowControl/>
        <w:spacing w:line="560" w:lineRule="exact"/>
        <w:ind w:firstLine="643" w:firstLineChars="200"/>
        <w:textAlignment w:val="baseline"/>
        <w:rPr>
          <w:rStyle w:val="26"/>
          <w:rFonts w:ascii="仿宋_GB2312" w:hAnsi="黑体" w:eastAsia="仿宋_GB2312" w:cs="黑体"/>
          <w:b/>
          <w:sz w:val="32"/>
          <w:szCs w:val="32"/>
        </w:rPr>
      </w:pPr>
      <w:r>
        <w:rPr>
          <w:rStyle w:val="26"/>
          <w:rFonts w:hint="eastAsia" w:ascii="仿宋_GB2312" w:hAnsi="黑体" w:eastAsia="仿宋_GB2312" w:cs="黑体"/>
          <w:b/>
          <w:sz w:val="32"/>
          <w:szCs w:val="32"/>
        </w:rPr>
        <w:t>（五）学术交流情况</w:t>
      </w:r>
    </w:p>
    <w:p>
      <w:pPr>
        <w:spacing w:line="360" w:lineRule="auto"/>
        <w:ind w:firstLine="560" w:firstLineChars="200"/>
        <w:rPr>
          <w:rStyle w:val="26"/>
          <w:rFonts w:ascii="仿宋_GB2312" w:hAnsi="方正仿宋简体" w:eastAsia="仿宋_GB2312" w:cs="方正仿宋简体"/>
          <w:color w:val="FF0000"/>
          <w:sz w:val="28"/>
          <w:szCs w:val="21"/>
        </w:rPr>
      </w:pPr>
      <w:r>
        <w:rPr>
          <w:rStyle w:val="26"/>
          <w:rFonts w:hint="eastAsia" w:ascii="仿宋_GB2312" w:hAnsi="方正仿宋简体" w:eastAsia="仿宋_GB2312" w:cs="方正仿宋简体"/>
          <w:sz w:val="28"/>
          <w:szCs w:val="21"/>
        </w:rPr>
        <w:t>学校、学院和学位点大力支持师生参与国内外学术交流，根据学校规定，学院每学期每生全额资助1次参加国内学术会议并宣讲，及导师课题资金资助研究生参加国内学术会议。2</w:t>
      </w:r>
      <w:r>
        <w:rPr>
          <w:rStyle w:val="26"/>
          <w:rFonts w:ascii="仿宋_GB2312" w:hAnsi="方正仿宋简体" w:eastAsia="仿宋_GB2312" w:cs="方正仿宋简体"/>
          <w:sz w:val="28"/>
          <w:szCs w:val="21"/>
        </w:rPr>
        <w:t>023年</w:t>
      </w:r>
      <w:r>
        <w:rPr>
          <w:rStyle w:val="26"/>
          <w:rFonts w:hint="eastAsia" w:ascii="仿宋_GB2312" w:hAnsi="方正仿宋简体" w:eastAsia="仿宋_GB2312" w:cs="方正仿宋简体"/>
          <w:sz w:val="28"/>
          <w:szCs w:val="21"/>
        </w:rPr>
        <w:t>6月</w:t>
      </w:r>
      <w:r>
        <w:rPr>
          <w:rStyle w:val="26"/>
          <w:rFonts w:ascii="仿宋_GB2312" w:hAnsi="方正仿宋简体" w:eastAsia="仿宋_GB2312" w:cs="方正仿宋简体"/>
          <w:sz w:val="28"/>
          <w:szCs w:val="21"/>
        </w:rPr>
        <w:t>曾颢</w:t>
      </w:r>
      <w:r>
        <w:rPr>
          <w:rStyle w:val="26"/>
          <w:rFonts w:hint="eastAsia" w:ascii="仿宋_GB2312" w:hAnsi="方正仿宋简体" w:eastAsia="仿宋_GB2312" w:cs="方正仿宋简体"/>
          <w:sz w:val="28"/>
          <w:szCs w:val="21"/>
        </w:rPr>
        <w:t>教师前往香港参加“IACMR双年会”学术会议并作报告《高质量指导关系对徒弟职业韧性的影响》。持续邀请了湖南师范大学徐春晓教授、南昌大学黄细嘉教授等知名专家学者来学院讲座，举办了10余场高水平学术讲座，进一步浓厚了学院科研氛围。</w:t>
      </w:r>
    </w:p>
    <w:p>
      <w:pPr>
        <w:widowControl/>
        <w:spacing w:line="560" w:lineRule="exact"/>
        <w:ind w:firstLine="643" w:firstLineChars="200"/>
        <w:textAlignment w:val="baseline"/>
        <w:rPr>
          <w:rStyle w:val="26"/>
          <w:rFonts w:ascii="仿宋_GB2312" w:hAnsi="黑体" w:eastAsia="仿宋_GB2312" w:cs="黑体"/>
          <w:b/>
          <w:sz w:val="32"/>
          <w:szCs w:val="32"/>
        </w:rPr>
      </w:pPr>
      <w:r>
        <w:rPr>
          <w:rStyle w:val="26"/>
          <w:rFonts w:hint="eastAsia" w:ascii="仿宋_GB2312" w:hAnsi="黑体" w:eastAsia="仿宋_GB2312" w:cs="黑体"/>
          <w:b/>
          <w:sz w:val="32"/>
          <w:szCs w:val="32"/>
        </w:rPr>
        <w:t>(六)研究生奖助情况</w:t>
      </w:r>
    </w:p>
    <w:p>
      <w:pPr>
        <w:pStyle w:val="29"/>
        <w:snapToGrid w:val="0"/>
        <w:spacing w:line="360" w:lineRule="auto"/>
        <w:ind w:firstLine="56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sz w:val="28"/>
          <w:szCs w:val="21"/>
        </w:rPr>
        <w:t>本学位点研究生奖助体系由国家助学金、国家奖学金、江西省政府奖学金等组成（见表4）。</w:t>
      </w:r>
    </w:p>
    <w:p>
      <w:pPr>
        <w:pStyle w:val="29"/>
        <w:snapToGrid w:val="0"/>
        <w:spacing w:line="360" w:lineRule="auto"/>
        <w:ind w:firstLine="0" w:firstLineChars="0"/>
        <w:jc w:val="center"/>
        <w:rPr>
          <w:rFonts w:ascii="仿宋_GB2312" w:hAnsi="方正仿宋简体" w:eastAsia="仿宋_GB2312" w:cs="方正仿宋简体"/>
          <w:sz w:val="28"/>
          <w:szCs w:val="21"/>
        </w:rPr>
      </w:pPr>
      <w:r>
        <w:rPr>
          <w:rStyle w:val="26"/>
          <w:rFonts w:hint="eastAsia" w:ascii="仿宋_GB2312" w:hAnsi="方正仿宋简体" w:eastAsia="仿宋_GB2312" w:cs="方正仿宋简体"/>
          <w:b/>
          <w:bCs/>
          <w:sz w:val="22"/>
          <w:szCs w:val="30"/>
        </w:rPr>
        <w:t>表4 奖助体系</w:t>
      </w:r>
    </w:p>
    <w:tbl>
      <w:tblPr>
        <w:tblStyle w:val="13"/>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2868"/>
        <w:gridCol w:w="3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479" w:type="dxa"/>
            <w:vAlign w:val="center"/>
          </w:tcPr>
          <w:p>
            <w:pPr>
              <w:pStyle w:val="29"/>
              <w:keepNext w:val="0"/>
              <w:keepLines w:val="0"/>
              <w:suppressLineNumbers w:val="0"/>
              <w:snapToGrid w:val="0"/>
              <w:spacing w:before="0" w:beforeAutospacing="0" w:after="0" w:afterAutospacing="0" w:line="360" w:lineRule="auto"/>
              <w:ind w:left="0" w:right="0" w:firstLine="0" w:firstLineChars="0"/>
              <w:jc w:val="center"/>
              <w:rPr>
                <w:rFonts w:hint="default"/>
                <w:sz w:val="24"/>
                <w:szCs w:val="28"/>
              </w:rPr>
            </w:pPr>
            <w:r>
              <w:rPr>
                <w:rFonts w:hint="eastAsia"/>
                <w:sz w:val="24"/>
                <w:szCs w:val="28"/>
              </w:rPr>
              <w:t>奖助类别名称</w:t>
            </w:r>
          </w:p>
        </w:tc>
        <w:tc>
          <w:tcPr>
            <w:tcW w:w="2868" w:type="dxa"/>
            <w:vAlign w:val="center"/>
          </w:tcPr>
          <w:p>
            <w:pPr>
              <w:pStyle w:val="29"/>
              <w:keepNext w:val="0"/>
              <w:keepLines w:val="0"/>
              <w:suppressLineNumbers w:val="0"/>
              <w:snapToGrid w:val="0"/>
              <w:spacing w:before="0" w:beforeAutospacing="0" w:after="0" w:afterAutospacing="0" w:line="360" w:lineRule="auto"/>
              <w:ind w:left="0" w:right="0" w:firstLine="0" w:firstLineChars="0"/>
              <w:jc w:val="center"/>
              <w:rPr>
                <w:rFonts w:hint="default"/>
                <w:sz w:val="24"/>
                <w:szCs w:val="28"/>
              </w:rPr>
            </w:pPr>
            <w:r>
              <w:rPr>
                <w:rFonts w:hint="eastAsia"/>
                <w:sz w:val="24"/>
                <w:szCs w:val="28"/>
              </w:rPr>
              <w:t>奖助标准</w:t>
            </w:r>
          </w:p>
        </w:tc>
        <w:tc>
          <w:tcPr>
            <w:tcW w:w="3768" w:type="dxa"/>
            <w:vAlign w:val="center"/>
          </w:tcPr>
          <w:p>
            <w:pPr>
              <w:pStyle w:val="29"/>
              <w:keepNext w:val="0"/>
              <w:keepLines w:val="0"/>
              <w:suppressLineNumbers w:val="0"/>
              <w:snapToGrid w:val="0"/>
              <w:spacing w:before="0" w:beforeAutospacing="0" w:after="0" w:afterAutospacing="0" w:line="360" w:lineRule="auto"/>
              <w:ind w:left="0" w:right="0" w:firstLine="0" w:firstLineChars="0"/>
              <w:jc w:val="center"/>
              <w:rPr>
                <w:rFonts w:hint="default"/>
                <w:sz w:val="24"/>
                <w:szCs w:val="28"/>
              </w:rPr>
            </w:pPr>
            <w:r>
              <w:rPr>
                <w:rFonts w:hint="eastAsia"/>
                <w:sz w:val="24"/>
                <w:szCs w:val="28"/>
              </w:rPr>
              <w:t>发放对象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79" w:type="dxa"/>
            <w:vAlign w:val="center"/>
          </w:tcPr>
          <w:p>
            <w:pPr>
              <w:pStyle w:val="29"/>
              <w:keepNext w:val="0"/>
              <w:keepLines w:val="0"/>
              <w:suppressLineNumbers w:val="0"/>
              <w:snapToGrid w:val="0"/>
              <w:spacing w:before="0" w:beforeAutospacing="0" w:after="0" w:afterAutospacing="0"/>
              <w:ind w:left="0" w:right="0" w:firstLine="480"/>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国家助学金</w:t>
            </w:r>
          </w:p>
        </w:tc>
        <w:tc>
          <w:tcPr>
            <w:tcW w:w="2868"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每生每月600元，每年按10个月发放</w:t>
            </w:r>
          </w:p>
        </w:tc>
        <w:tc>
          <w:tcPr>
            <w:tcW w:w="3768" w:type="dxa"/>
            <w:vAlign w:val="center"/>
          </w:tcPr>
          <w:p>
            <w:pPr>
              <w:pStyle w:val="29"/>
              <w:keepNext w:val="0"/>
              <w:keepLines w:val="0"/>
              <w:suppressLineNumbers w:val="0"/>
              <w:snapToGrid w:val="0"/>
              <w:spacing w:before="0" w:beforeAutospacing="0" w:after="0" w:afterAutospacing="0"/>
              <w:ind w:left="0" w:right="0" w:firstLine="48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招生计划内所有全日制研究生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9" w:type="dxa"/>
            <w:vAlign w:val="center"/>
          </w:tcPr>
          <w:p>
            <w:pPr>
              <w:pStyle w:val="29"/>
              <w:keepNext w:val="0"/>
              <w:keepLines w:val="0"/>
              <w:suppressLineNumbers w:val="0"/>
              <w:snapToGrid w:val="0"/>
              <w:spacing w:before="0" w:beforeAutospacing="0" w:after="0" w:afterAutospacing="0"/>
              <w:ind w:left="0" w:right="0" w:firstLine="480"/>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国家奖学金</w:t>
            </w:r>
          </w:p>
        </w:tc>
        <w:tc>
          <w:tcPr>
            <w:tcW w:w="2868"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每生每年2万元</w:t>
            </w:r>
          </w:p>
        </w:tc>
        <w:tc>
          <w:tcPr>
            <w:tcW w:w="3768" w:type="dxa"/>
            <w:vAlign w:val="center"/>
          </w:tcPr>
          <w:p>
            <w:pPr>
              <w:pStyle w:val="29"/>
              <w:keepNext w:val="0"/>
              <w:keepLines w:val="0"/>
              <w:suppressLineNumbers w:val="0"/>
              <w:snapToGrid w:val="0"/>
              <w:spacing w:before="0" w:beforeAutospacing="0" w:after="0" w:afterAutospacing="0"/>
              <w:ind w:left="0" w:right="0" w:firstLine="0" w:firstLineChars="0"/>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奖励学业成绩优秀、科研成果突出、社会公益活动表现突出研究生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9"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江西省政府奖学金</w:t>
            </w:r>
          </w:p>
        </w:tc>
        <w:tc>
          <w:tcPr>
            <w:tcW w:w="2868"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每生每年1万元</w:t>
            </w:r>
          </w:p>
        </w:tc>
        <w:tc>
          <w:tcPr>
            <w:tcW w:w="3768" w:type="dxa"/>
            <w:vAlign w:val="center"/>
          </w:tcPr>
          <w:p>
            <w:pPr>
              <w:pStyle w:val="29"/>
              <w:keepNext w:val="0"/>
              <w:keepLines w:val="0"/>
              <w:suppressLineNumbers w:val="0"/>
              <w:snapToGrid w:val="0"/>
              <w:spacing w:before="0" w:beforeAutospacing="0" w:after="0" w:afterAutospacing="0"/>
              <w:ind w:left="0" w:right="0" w:firstLine="0" w:firstLineChars="0"/>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奖励全日制二年级L以上(含二年级）在读研究生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9"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江西省学业奖学金</w:t>
            </w:r>
          </w:p>
        </w:tc>
        <w:tc>
          <w:tcPr>
            <w:tcW w:w="2868"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每生每年8000元</w:t>
            </w:r>
          </w:p>
        </w:tc>
        <w:tc>
          <w:tcPr>
            <w:tcW w:w="3768" w:type="dxa"/>
            <w:vAlign w:val="center"/>
          </w:tcPr>
          <w:p>
            <w:pPr>
              <w:pStyle w:val="29"/>
              <w:keepNext w:val="0"/>
              <w:keepLines w:val="0"/>
              <w:suppressLineNumbers w:val="0"/>
              <w:snapToGrid w:val="0"/>
              <w:spacing w:before="0" w:beforeAutospacing="0" w:after="0" w:afterAutospacing="0"/>
              <w:ind w:left="0" w:right="0" w:firstLine="0" w:firstLineChars="0"/>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奖励比例为全日制在校研究生总数的40%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9"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校研究生创新专项资金</w:t>
            </w:r>
          </w:p>
        </w:tc>
        <w:tc>
          <w:tcPr>
            <w:tcW w:w="2868"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2000元</w:t>
            </w:r>
          </w:p>
        </w:tc>
        <w:tc>
          <w:tcPr>
            <w:tcW w:w="3768" w:type="dxa"/>
            <w:vAlign w:val="center"/>
          </w:tcPr>
          <w:p>
            <w:pPr>
              <w:pStyle w:val="29"/>
              <w:keepNext w:val="0"/>
              <w:keepLines w:val="0"/>
              <w:suppressLineNumbers w:val="0"/>
              <w:snapToGrid w:val="0"/>
              <w:spacing w:before="0" w:beforeAutospacing="0" w:after="0" w:afterAutospacing="0"/>
              <w:ind w:left="0" w:right="0" w:firstLine="0" w:firstLineChars="0"/>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资助研究生自主提出具有创新思想的研究课题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79"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校研究生学业奖学金</w:t>
            </w:r>
          </w:p>
        </w:tc>
        <w:tc>
          <w:tcPr>
            <w:tcW w:w="2868"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4000元-10000元之间</w:t>
            </w:r>
          </w:p>
        </w:tc>
        <w:tc>
          <w:tcPr>
            <w:tcW w:w="3768" w:type="dxa"/>
            <w:vAlign w:val="center"/>
          </w:tcPr>
          <w:p>
            <w:pPr>
              <w:pStyle w:val="29"/>
              <w:keepNext w:val="0"/>
              <w:keepLines w:val="0"/>
              <w:suppressLineNumbers w:val="0"/>
              <w:snapToGrid w:val="0"/>
              <w:spacing w:before="0" w:beforeAutospacing="0" w:after="0" w:afterAutospacing="0"/>
              <w:ind w:left="0" w:right="0" w:firstLine="0" w:firstLineChars="0"/>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奖励对象为全日制在校研究生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9" w:type="dxa"/>
            <w:vAlign w:val="center"/>
          </w:tcPr>
          <w:p>
            <w:pPr>
              <w:pStyle w:val="29"/>
              <w:keepNext w:val="0"/>
              <w:keepLines w:val="0"/>
              <w:suppressLineNumbers w:val="0"/>
              <w:snapToGrid w:val="0"/>
              <w:spacing w:before="0" w:beforeAutospacing="0" w:after="0" w:afterAutospacing="0"/>
              <w:ind w:left="0" w:right="0" w:firstLine="480"/>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新生奖学金</w:t>
            </w:r>
          </w:p>
        </w:tc>
        <w:tc>
          <w:tcPr>
            <w:tcW w:w="2868" w:type="dxa"/>
            <w:vAlign w:val="center"/>
          </w:tcPr>
          <w:p>
            <w:pPr>
              <w:pStyle w:val="29"/>
              <w:keepNext w:val="0"/>
              <w:keepLines w:val="0"/>
              <w:suppressLineNumbers w:val="0"/>
              <w:snapToGrid w:val="0"/>
              <w:spacing w:before="0" w:beforeAutospacing="0" w:after="0" w:afterAutospacing="0"/>
              <w:ind w:left="0" w:right="0" w:firstLine="0" w:firstLineChars="0"/>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每生给子—次性的奖励金额在8000-12000元之间</w:t>
            </w:r>
          </w:p>
        </w:tc>
        <w:tc>
          <w:tcPr>
            <w:tcW w:w="3768" w:type="dxa"/>
            <w:vAlign w:val="center"/>
          </w:tcPr>
          <w:p>
            <w:pPr>
              <w:pStyle w:val="29"/>
              <w:keepNext w:val="0"/>
              <w:keepLines w:val="0"/>
              <w:suppressLineNumbers w:val="0"/>
              <w:snapToGrid w:val="0"/>
              <w:spacing w:before="0" w:beforeAutospacing="0" w:after="0" w:afterAutospacing="0"/>
              <w:ind w:left="0" w:right="0" w:firstLine="0" w:firstLineChars="0"/>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—志愿报考我校被录取或调剂被录取的新生(不含破格录取的)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79"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“三助”岗位</w:t>
            </w:r>
          </w:p>
        </w:tc>
        <w:tc>
          <w:tcPr>
            <w:tcW w:w="2868" w:type="dxa"/>
            <w:vAlign w:val="center"/>
          </w:tcPr>
          <w:p>
            <w:pPr>
              <w:pStyle w:val="29"/>
              <w:keepNext w:val="0"/>
              <w:keepLines w:val="0"/>
              <w:suppressLineNumbers w:val="0"/>
              <w:snapToGrid w:val="0"/>
              <w:spacing w:before="0" w:beforeAutospacing="0" w:after="0" w:afterAutospacing="0"/>
              <w:ind w:left="0" w:right="0" w:firstLine="0" w:firstLineChars="0"/>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基本岗位津贴300元/月,学院在此基础上给予1:1的比例经费</w:t>
            </w:r>
          </w:p>
        </w:tc>
        <w:tc>
          <w:tcPr>
            <w:tcW w:w="3768" w:type="dxa"/>
            <w:vAlign w:val="center"/>
          </w:tcPr>
          <w:p>
            <w:pPr>
              <w:pStyle w:val="29"/>
              <w:keepNext w:val="0"/>
              <w:keepLines w:val="0"/>
              <w:suppressLineNumbers w:val="0"/>
              <w:snapToGrid w:val="0"/>
              <w:spacing w:before="0" w:beforeAutospacing="0" w:after="0" w:afterAutospacing="0"/>
              <w:ind w:left="0" w:right="0" w:firstLine="0" w:firstLineChars="0"/>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学校每年设置—定数量的研究生助教、助研和助管</w:t>
            </w:r>
          </w:p>
        </w:tc>
      </w:tr>
    </w:tbl>
    <w:p>
      <w:pPr>
        <w:widowControl/>
        <w:spacing w:line="560" w:lineRule="exact"/>
        <w:ind w:firstLine="643" w:firstLineChars="200"/>
        <w:textAlignment w:val="baseline"/>
        <w:rPr>
          <w:rStyle w:val="26"/>
          <w:rFonts w:ascii="仿宋_GB2312" w:hAnsi="黑体" w:eastAsia="仿宋_GB2312" w:cs="黑体"/>
          <w:b/>
          <w:sz w:val="32"/>
          <w:szCs w:val="32"/>
        </w:rPr>
      </w:pPr>
      <w:r>
        <w:rPr>
          <w:rStyle w:val="26"/>
          <w:rFonts w:hint="eastAsia" w:ascii="仿宋_GB2312" w:hAnsi="黑体" w:eastAsia="仿宋_GB2312" w:cs="黑体"/>
          <w:b/>
          <w:sz w:val="32"/>
          <w:szCs w:val="32"/>
        </w:rPr>
        <w:t>四、研究生教育改革情况</w:t>
      </w:r>
    </w:p>
    <w:p>
      <w:pPr>
        <w:pStyle w:val="3"/>
        <w:spacing w:line="560" w:lineRule="exact"/>
        <w:ind w:firstLine="643"/>
        <w:rPr>
          <w:rStyle w:val="26"/>
          <w:rFonts w:ascii="仿宋_GB2312" w:hAnsi="方正仿宋简体" w:eastAsia="仿宋_GB2312" w:cs="方正仿宋简体"/>
          <w:b/>
          <w:bCs/>
          <w:color w:val="auto"/>
          <w:sz w:val="32"/>
        </w:rPr>
      </w:pPr>
      <w:r>
        <w:rPr>
          <w:rStyle w:val="26"/>
          <w:rFonts w:hint="eastAsia" w:ascii="仿宋_GB2312" w:hAnsi="方正仿宋简体" w:eastAsia="仿宋_GB2312" w:cs="方正仿宋简体"/>
          <w:b/>
          <w:bCs/>
          <w:color w:val="auto"/>
          <w:sz w:val="32"/>
        </w:rPr>
        <w:t>（一）人才培养</w:t>
      </w:r>
      <w:bookmarkStart w:id="3" w:name="_Toc527800268"/>
      <w:bookmarkStart w:id="4" w:name="_Toc527799240"/>
    </w:p>
    <w:p>
      <w:pPr>
        <w:spacing w:line="360" w:lineRule="auto"/>
        <w:ind w:firstLine="562" w:firstLineChars="200"/>
        <w:rPr>
          <w:rStyle w:val="26"/>
          <w:rFonts w:ascii="仿宋_GB2312" w:hAnsi="方正仿宋简体" w:eastAsia="仿宋_GB2312" w:cs="方正仿宋简体"/>
          <w:b/>
          <w:bCs/>
          <w:sz w:val="28"/>
          <w:szCs w:val="28"/>
        </w:rPr>
      </w:pPr>
      <w:r>
        <w:rPr>
          <w:rStyle w:val="26"/>
          <w:rFonts w:hint="eastAsia" w:ascii="仿宋_GB2312" w:hAnsi="方正仿宋简体" w:eastAsia="仿宋_GB2312" w:cs="方正仿宋简体"/>
          <w:b/>
          <w:bCs/>
          <w:sz w:val="28"/>
          <w:szCs w:val="28"/>
        </w:rPr>
        <w:t>1.招生选拔</w:t>
      </w:r>
      <w:bookmarkEnd w:id="3"/>
      <w:bookmarkEnd w:id="4"/>
    </w:p>
    <w:p>
      <w:pPr>
        <w:spacing w:line="360" w:lineRule="auto"/>
        <w:ind w:firstLine="562" w:firstLineChars="200"/>
        <w:rPr>
          <w:rStyle w:val="26"/>
          <w:rFonts w:ascii="仿宋_GB2312" w:hAnsi="方正仿宋简体" w:eastAsia="仿宋_GB2312" w:cs="方正仿宋简体"/>
          <w:b/>
          <w:bCs/>
          <w:sz w:val="28"/>
          <w:szCs w:val="28"/>
        </w:rPr>
      </w:pPr>
      <w:r>
        <w:rPr>
          <w:rStyle w:val="26"/>
          <w:rFonts w:hint="eastAsia" w:ascii="仿宋_GB2312" w:hAnsi="方正仿宋简体" w:eastAsia="仿宋_GB2312" w:cs="方正仿宋简体"/>
          <w:b/>
          <w:bCs/>
          <w:sz w:val="28"/>
          <w:szCs w:val="28"/>
        </w:rPr>
        <w:t>1.1录取基本数据</w:t>
      </w:r>
    </w:p>
    <w:p>
      <w:pPr>
        <w:snapToGrid w:val="0"/>
        <w:spacing w:line="360" w:lineRule="auto"/>
        <w:ind w:firstLine="560" w:firstLineChars="200"/>
        <w:rPr>
          <w:rStyle w:val="26"/>
          <w:rFonts w:ascii="仿宋_GB2312" w:hAnsi="方正仿宋简体" w:eastAsia="仿宋_GB2312" w:cs="方正仿宋简体"/>
          <w:color w:val="auto"/>
          <w:sz w:val="28"/>
          <w:szCs w:val="28"/>
        </w:rPr>
      </w:pPr>
      <w:r>
        <w:rPr>
          <w:rStyle w:val="26"/>
          <w:rFonts w:hint="eastAsia" w:ascii="仿宋_GB2312" w:hAnsi="方正仿宋简体" w:eastAsia="仿宋_GB2312" w:cs="方正仿宋简体"/>
          <w:color w:val="auto"/>
          <w:sz w:val="28"/>
          <w:szCs w:val="28"/>
        </w:rPr>
        <w:t>202</w:t>
      </w:r>
      <w:r>
        <w:rPr>
          <w:rStyle w:val="26"/>
          <w:rFonts w:hint="eastAsia" w:ascii="仿宋_GB2312" w:hAnsi="方正仿宋简体" w:eastAsia="仿宋_GB2312" w:cs="方正仿宋简体"/>
          <w:color w:val="auto"/>
          <w:sz w:val="28"/>
          <w:szCs w:val="28"/>
          <w:lang w:val="en-US"/>
        </w:rPr>
        <w:t>3</w:t>
      </w:r>
      <w:r>
        <w:rPr>
          <w:rStyle w:val="26"/>
          <w:rFonts w:hint="eastAsia" w:ascii="仿宋_GB2312" w:hAnsi="方正仿宋简体" w:eastAsia="仿宋_GB2312" w:cs="方正仿宋简体"/>
          <w:color w:val="auto"/>
          <w:sz w:val="28"/>
          <w:szCs w:val="28"/>
        </w:rPr>
        <w:t>年本学科研究生招生</w:t>
      </w:r>
      <w:r>
        <w:rPr>
          <w:rStyle w:val="26"/>
          <w:rFonts w:hint="eastAsia" w:ascii="仿宋_GB2312" w:hAnsi="方正仿宋简体" w:eastAsia="仿宋_GB2312" w:cs="方正仿宋简体"/>
          <w:color w:val="auto"/>
          <w:sz w:val="28"/>
          <w:szCs w:val="28"/>
          <w:lang w:val="en-US"/>
        </w:rPr>
        <w:t>2</w:t>
      </w:r>
      <w:r>
        <w:rPr>
          <w:rStyle w:val="26"/>
          <w:rFonts w:hint="eastAsia" w:ascii="仿宋_GB2312" w:hAnsi="方正仿宋简体" w:eastAsia="仿宋_GB2312" w:cs="方正仿宋简体"/>
          <w:color w:val="auto"/>
          <w:sz w:val="28"/>
          <w:szCs w:val="28"/>
        </w:rPr>
        <w:t>人、在读2</w:t>
      </w:r>
      <w:r>
        <w:rPr>
          <w:rStyle w:val="26"/>
          <w:rFonts w:hint="eastAsia" w:ascii="仿宋_GB2312" w:hAnsi="方正仿宋简体" w:eastAsia="仿宋_GB2312" w:cs="方正仿宋简体"/>
          <w:color w:val="auto"/>
          <w:sz w:val="28"/>
          <w:szCs w:val="28"/>
          <w:lang w:val="en-US"/>
        </w:rPr>
        <w:t>4</w:t>
      </w:r>
      <w:r>
        <w:rPr>
          <w:rStyle w:val="26"/>
          <w:rFonts w:hint="eastAsia" w:ascii="仿宋_GB2312" w:hAnsi="方正仿宋简体" w:eastAsia="仿宋_GB2312" w:cs="方正仿宋简体"/>
          <w:color w:val="auto"/>
          <w:sz w:val="28"/>
          <w:szCs w:val="28"/>
        </w:rPr>
        <w:t>人、应毕业</w:t>
      </w:r>
      <w:r>
        <w:rPr>
          <w:rStyle w:val="26"/>
          <w:rFonts w:hint="eastAsia" w:ascii="仿宋_GB2312" w:hAnsi="方正仿宋简体" w:eastAsia="仿宋_GB2312" w:cs="方正仿宋简体"/>
          <w:color w:val="auto"/>
          <w:sz w:val="28"/>
          <w:szCs w:val="28"/>
          <w:lang w:val="en-US"/>
        </w:rPr>
        <w:t>11</w:t>
      </w:r>
      <w:r>
        <w:rPr>
          <w:rStyle w:val="26"/>
          <w:rFonts w:hint="eastAsia" w:ascii="仿宋_GB2312" w:hAnsi="方正仿宋简体" w:eastAsia="仿宋_GB2312" w:cs="方正仿宋简体"/>
          <w:color w:val="auto"/>
          <w:sz w:val="28"/>
          <w:szCs w:val="28"/>
        </w:rPr>
        <w:t>人、实际毕业</w:t>
      </w:r>
      <w:r>
        <w:rPr>
          <w:rStyle w:val="26"/>
          <w:rFonts w:hint="eastAsia" w:ascii="仿宋_GB2312" w:hAnsi="方正仿宋简体" w:eastAsia="仿宋_GB2312" w:cs="方正仿宋简体"/>
          <w:color w:val="auto"/>
          <w:sz w:val="28"/>
          <w:szCs w:val="28"/>
          <w:lang w:val="en-US"/>
        </w:rPr>
        <w:t>11</w:t>
      </w:r>
      <w:r>
        <w:rPr>
          <w:rStyle w:val="26"/>
          <w:rFonts w:hint="eastAsia" w:ascii="仿宋_GB2312" w:hAnsi="方正仿宋简体" w:eastAsia="仿宋_GB2312" w:cs="方正仿宋简体"/>
          <w:color w:val="auto"/>
          <w:sz w:val="28"/>
          <w:szCs w:val="28"/>
        </w:rPr>
        <w:t>人，学位授予</w:t>
      </w:r>
      <w:r>
        <w:rPr>
          <w:rStyle w:val="26"/>
          <w:rFonts w:hint="eastAsia" w:ascii="仿宋_GB2312" w:hAnsi="方正仿宋简体" w:eastAsia="仿宋_GB2312" w:cs="方正仿宋简体"/>
          <w:color w:val="auto"/>
          <w:sz w:val="28"/>
          <w:szCs w:val="28"/>
          <w:lang w:val="en-US"/>
        </w:rPr>
        <w:t>11</w:t>
      </w:r>
      <w:r>
        <w:rPr>
          <w:rStyle w:val="26"/>
          <w:rFonts w:hint="eastAsia" w:ascii="仿宋_GB2312" w:hAnsi="方正仿宋简体" w:eastAsia="仿宋_GB2312" w:cs="方正仿宋简体"/>
          <w:color w:val="auto"/>
          <w:sz w:val="28"/>
          <w:szCs w:val="28"/>
        </w:rPr>
        <w:t>人（见表5）。</w:t>
      </w:r>
    </w:p>
    <w:p>
      <w:pPr>
        <w:pStyle w:val="29"/>
        <w:snapToGrid w:val="0"/>
        <w:spacing w:line="360" w:lineRule="auto"/>
        <w:ind w:firstLine="0" w:firstLineChars="0"/>
        <w:jc w:val="center"/>
        <w:rPr>
          <w:rStyle w:val="26"/>
          <w:rFonts w:ascii="仿宋_GB2312" w:hAnsi="方正仿宋简体" w:eastAsia="仿宋_GB2312" w:cs="方正仿宋简体"/>
          <w:b/>
          <w:bCs/>
          <w:sz w:val="22"/>
          <w:szCs w:val="30"/>
        </w:rPr>
      </w:pPr>
      <w:r>
        <w:rPr>
          <w:rStyle w:val="26"/>
          <w:rFonts w:hint="eastAsia" w:ascii="仿宋_GB2312" w:hAnsi="方正仿宋简体" w:eastAsia="仿宋_GB2312" w:cs="方正仿宋简体"/>
          <w:b/>
          <w:bCs/>
          <w:sz w:val="22"/>
          <w:szCs w:val="30"/>
        </w:rPr>
        <w:t>表5  工商管理硕士研究生招生与学位授予情况</w:t>
      </w:r>
    </w:p>
    <w:tbl>
      <w:tblPr>
        <w:tblStyle w:val="1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417"/>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101"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p>
        </w:tc>
        <w:tc>
          <w:tcPr>
            <w:tcW w:w="1275"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全日制招生人数</w:t>
            </w:r>
          </w:p>
        </w:tc>
        <w:tc>
          <w:tcPr>
            <w:tcW w:w="1560"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非全日制招生人数</w:t>
            </w:r>
          </w:p>
        </w:tc>
        <w:tc>
          <w:tcPr>
            <w:tcW w:w="1417"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分流淘汰人数</w:t>
            </w:r>
          </w:p>
        </w:tc>
        <w:tc>
          <w:tcPr>
            <w:tcW w:w="1701"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全日制授予学位人数</w:t>
            </w:r>
          </w:p>
        </w:tc>
        <w:tc>
          <w:tcPr>
            <w:tcW w:w="1559" w:type="dxa"/>
            <w:vAlign w:val="center"/>
          </w:tcPr>
          <w:p>
            <w:pPr>
              <w:pStyle w:val="29"/>
              <w:keepNext w:val="0"/>
              <w:keepLines w:val="0"/>
              <w:suppressLineNumbers w:val="0"/>
              <w:snapToGrid w:val="0"/>
              <w:spacing w:before="0" w:beforeAutospacing="0" w:after="0" w:afterAutospacing="0"/>
              <w:ind w:left="0" w:right="0" w:firstLine="0" w:firstLineChars="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rPr>
              <w:t>非全日制授予学位人数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01" w:type="dxa"/>
            <w:vAlign w:val="center"/>
          </w:tcPr>
          <w:p>
            <w:pPr>
              <w:keepNext w:val="0"/>
              <w:keepLines w:val="0"/>
              <w:suppressLineNumbers w:val="0"/>
              <w:snapToGrid w:val="0"/>
              <w:spacing w:before="0" w:beforeAutospacing="0" w:after="0" w:afterAutospacing="0" w:line="360" w:lineRule="auto"/>
              <w:ind w:left="0" w:right="0"/>
              <w:jc w:val="center"/>
              <w:rPr>
                <w:rFonts w:hint="default"/>
                <w:b/>
                <w:bCs/>
                <w:color w:val="000000"/>
                <w:sz w:val="24"/>
              </w:rPr>
            </w:pPr>
            <w:r>
              <w:rPr>
                <w:rStyle w:val="26"/>
                <w:rFonts w:hint="default" w:ascii="仿宋_GB2312" w:hAnsi="方正仿宋简体" w:eastAsia="仿宋_GB2312" w:cs="方正仿宋简体"/>
                <w:szCs w:val="28"/>
              </w:rPr>
              <w:t>202</w:t>
            </w:r>
            <w:r>
              <w:rPr>
                <w:rStyle w:val="26"/>
                <w:rFonts w:hint="eastAsia" w:ascii="仿宋_GB2312" w:hAnsi="方正仿宋简体" w:eastAsia="仿宋_GB2312" w:cs="方正仿宋简体"/>
                <w:szCs w:val="28"/>
                <w:lang w:val="en-US"/>
              </w:rPr>
              <w:t>3</w:t>
            </w:r>
            <w:r>
              <w:rPr>
                <w:rStyle w:val="26"/>
                <w:rFonts w:hint="eastAsia" w:ascii="仿宋_GB2312" w:hAnsi="方正仿宋简体" w:eastAsia="仿宋_GB2312" w:cs="方正仿宋简体"/>
                <w:szCs w:val="28"/>
              </w:rPr>
              <w:t>年</w:t>
            </w:r>
          </w:p>
        </w:tc>
        <w:tc>
          <w:tcPr>
            <w:tcW w:w="1275" w:type="dxa"/>
            <w:vAlign w:val="center"/>
          </w:tcPr>
          <w:p>
            <w:pPr>
              <w:keepNext w:val="0"/>
              <w:keepLines w:val="0"/>
              <w:suppressLineNumbers w:val="0"/>
              <w:snapToGrid w:val="0"/>
              <w:spacing w:before="0" w:beforeAutospacing="0" w:after="0" w:afterAutospacing="0" w:line="360" w:lineRule="auto"/>
              <w:ind w:left="0" w:right="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lang w:val="en-US"/>
              </w:rPr>
              <w:t>2</w:t>
            </w:r>
          </w:p>
        </w:tc>
        <w:tc>
          <w:tcPr>
            <w:tcW w:w="1560" w:type="dxa"/>
            <w:vAlign w:val="center"/>
          </w:tcPr>
          <w:p>
            <w:pPr>
              <w:keepNext w:val="0"/>
              <w:keepLines w:val="0"/>
              <w:suppressLineNumbers w:val="0"/>
              <w:snapToGrid w:val="0"/>
              <w:spacing w:before="0" w:beforeAutospacing="0" w:after="0" w:afterAutospacing="0" w:line="360" w:lineRule="auto"/>
              <w:ind w:left="0" w:right="0"/>
              <w:jc w:val="center"/>
              <w:rPr>
                <w:rStyle w:val="26"/>
                <w:rFonts w:hint="default" w:ascii="仿宋_GB2312" w:hAnsi="方正仿宋简体" w:eastAsia="仿宋_GB2312" w:cs="方正仿宋简体"/>
                <w:szCs w:val="28"/>
              </w:rPr>
            </w:pPr>
            <w:r>
              <w:rPr>
                <w:rStyle w:val="26"/>
                <w:rFonts w:hint="default" w:ascii="仿宋_GB2312" w:hAnsi="方正仿宋简体" w:eastAsia="仿宋_GB2312" w:cs="方正仿宋简体"/>
                <w:szCs w:val="28"/>
              </w:rPr>
              <w:t>0</w:t>
            </w:r>
          </w:p>
        </w:tc>
        <w:tc>
          <w:tcPr>
            <w:tcW w:w="1417" w:type="dxa"/>
            <w:vAlign w:val="center"/>
          </w:tcPr>
          <w:p>
            <w:pPr>
              <w:keepNext w:val="0"/>
              <w:keepLines w:val="0"/>
              <w:suppressLineNumbers w:val="0"/>
              <w:snapToGrid w:val="0"/>
              <w:spacing w:before="0" w:beforeAutospacing="0" w:after="0" w:afterAutospacing="0" w:line="360" w:lineRule="auto"/>
              <w:ind w:left="0" w:right="0"/>
              <w:jc w:val="center"/>
              <w:rPr>
                <w:rStyle w:val="26"/>
                <w:rFonts w:hint="default" w:ascii="仿宋_GB2312" w:hAnsi="方正仿宋简体" w:eastAsia="仿宋_GB2312" w:cs="方正仿宋简体"/>
                <w:szCs w:val="28"/>
              </w:rPr>
            </w:pPr>
            <w:r>
              <w:rPr>
                <w:rStyle w:val="26"/>
                <w:rFonts w:hint="default" w:ascii="仿宋_GB2312" w:hAnsi="方正仿宋简体" w:eastAsia="仿宋_GB2312" w:cs="方正仿宋简体"/>
                <w:szCs w:val="28"/>
              </w:rPr>
              <w:t>0</w:t>
            </w:r>
          </w:p>
        </w:tc>
        <w:tc>
          <w:tcPr>
            <w:tcW w:w="1701" w:type="dxa"/>
            <w:vAlign w:val="center"/>
          </w:tcPr>
          <w:p>
            <w:pPr>
              <w:keepNext w:val="0"/>
              <w:keepLines w:val="0"/>
              <w:suppressLineNumbers w:val="0"/>
              <w:snapToGrid w:val="0"/>
              <w:spacing w:before="0" w:beforeAutospacing="0" w:after="0" w:afterAutospacing="0" w:line="360" w:lineRule="auto"/>
              <w:ind w:left="0" w:right="0"/>
              <w:jc w:val="center"/>
              <w:rPr>
                <w:rStyle w:val="26"/>
                <w:rFonts w:hint="default" w:ascii="仿宋_GB2312" w:hAnsi="方正仿宋简体" w:eastAsia="仿宋_GB2312" w:cs="方正仿宋简体"/>
                <w:szCs w:val="28"/>
              </w:rPr>
            </w:pPr>
            <w:r>
              <w:rPr>
                <w:rStyle w:val="26"/>
                <w:rFonts w:hint="eastAsia" w:ascii="仿宋_GB2312" w:hAnsi="方正仿宋简体" w:eastAsia="仿宋_GB2312" w:cs="方正仿宋简体"/>
                <w:szCs w:val="28"/>
                <w:lang w:val="en-US"/>
              </w:rPr>
              <w:t>2</w:t>
            </w:r>
          </w:p>
        </w:tc>
        <w:tc>
          <w:tcPr>
            <w:tcW w:w="1559" w:type="dxa"/>
            <w:vAlign w:val="center"/>
          </w:tcPr>
          <w:p>
            <w:pPr>
              <w:keepNext w:val="0"/>
              <w:keepLines w:val="0"/>
              <w:suppressLineNumbers w:val="0"/>
              <w:snapToGrid w:val="0"/>
              <w:spacing w:before="0" w:beforeAutospacing="0" w:after="0" w:afterAutospacing="0" w:line="360" w:lineRule="auto"/>
              <w:ind w:left="0" w:right="0"/>
              <w:jc w:val="center"/>
              <w:rPr>
                <w:rStyle w:val="26"/>
                <w:rFonts w:hint="default" w:ascii="仿宋_GB2312" w:hAnsi="方正仿宋简体" w:eastAsia="仿宋_GB2312" w:cs="方正仿宋简体"/>
                <w:szCs w:val="28"/>
              </w:rPr>
            </w:pPr>
            <w:r>
              <w:rPr>
                <w:rStyle w:val="26"/>
                <w:rFonts w:hint="default" w:ascii="仿宋_GB2312" w:hAnsi="方正仿宋简体" w:eastAsia="仿宋_GB2312" w:cs="方正仿宋简体"/>
                <w:szCs w:val="28"/>
              </w:rPr>
              <w:t>0</w:t>
            </w:r>
          </w:p>
        </w:tc>
      </w:tr>
    </w:tbl>
    <w:p>
      <w:pPr>
        <w:spacing w:line="360" w:lineRule="auto"/>
        <w:ind w:firstLine="562" w:firstLineChars="200"/>
        <w:rPr>
          <w:rStyle w:val="26"/>
          <w:rFonts w:ascii="仿宋_GB2312" w:hAnsi="方正仿宋简体" w:eastAsia="仿宋_GB2312" w:cs="方正仿宋简体"/>
          <w:b/>
          <w:bCs/>
          <w:sz w:val="28"/>
          <w:szCs w:val="28"/>
        </w:rPr>
      </w:pPr>
      <w:r>
        <w:rPr>
          <w:rStyle w:val="26"/>
          <w:rFonts w:hint="eastAsia" w:ascii="仿宋_GB2312" w:hAnsi="方正仿宋简体" w:eastAsia="仿宋_GB2312" w:cs="方正仿宋简体"/>
          <w:b/>
          <w:bCs/>
          <w:sz w:val="28"/>
          <w:szCs w:val="28"/>
        </w:rPr>
        <w:t>4.1.2生源结构情况分析</w:t>
      </w:r>
    </w:p>
    <w:p>
      <w:pPr>
        <w:spacing w:line="360" w:lineRule="auto"/>
        <w:ind w:firstLine="560" w:firstLineChars="200"/>
        <w:rPr>
          <w:bCs/>
          <w:color w:val="auto"/>
          <w:kern w:val="0"/>
          <w:sz w:val="28"/>
          <w:szCs w:val="28"/>
        </w:rPr>
      </w:pPr>
      <w:r>
        <w:rPr>
          <w:b/>
          <w:kern w:val="0"/>
          <w:sz w:val="28"/>
          <w:szCs w:val="28"/>
        </w:rPr>
        <w:t>生源范围</w:t>
      </w:r>
      <w:r>
        <w:rPr>
          <w:rStyle w:val="26"/>
          <w:rFonts w:hint="eastAsia" w:ascii="仿宋_GB2312" w:hAnsi="黑体" w:eastAsia="仿宋_GB2312" w:cs="黑体"/>
          <w:bCs/>
          <w:sz w:val="28"/>
          <w:szCs w:val="28"/>
        </w:rPr>
        <w:t>：</w:t>
      </w:r>
      <w:r>
        <w:rPr>
          <w:rStyle w:val="26"/>
          <w:rFonts w:hint="eastAsia" w:ascii="仿宋_GB2312" w:hAnsi="黑体" w:eastAsia="仿宋_GB2312" w:cs="黑体"/>
          <w:bCs/>
          <w:color w:val="auto"/>
          <w:sz w:val="28"/>
          <w:szCs w:val="28"/>
        </w:rPr>
        <w:t>以202</w:t>
      </w:r>
      <w:r>
        <w:rPr>
          <w:rStyle w:val="26"/>
          <w:rFonts w:hint="eastAsia" w:ascii="仿宋_GB2312" w:hAnsi="黑体" w:eastAsia="仿宋_GB2312" w:cs="黑体"/>
          <w:bCs/>
          <w:color w:val="auto"/>
          <w:sz w:val="28"/>
          <w:szCs w:val="28"/>
          <w:lang w:val="en-US"/>
        </w:rPr>
        <w:t>2</w:t>
      </w:r>
      <w:r>
        <w:rPr>
          <w:rStyle w:val="26"/>
          <w:rFonts w:hint="eastAsia" w:ascii="仿宋_GB2312" w:hAnsi="黑体" w:eastAsia="仿宋_GB2312" w:cs="黑体"/>
          <w:bCs/>
          <w:color w:val="auto"/>
          <w:sz w:val="28"/>
          <w:szCs w:val="28"/>
        </w:rPr>
        <w:t>届本科应届毕业生为主，录取的全日制硕士研究生</w:t>
      </w:r>
      <w:r>
        <w:rPr>
          <w:rStyle w:val="26"/>
          <w:rFonts w:hint="eastAsia" w:ascii="仿宋_GB2312" w:hAnsi="黑体" w:eastAsia="仿宋_GB2312" w:cs="黑体"/>
          <w:bCs/>
          <w:color w:val="auto"/>
          <w:sz w:val="28"/>
          <w:szCs w:val="28"/>
          <w:lang w:val="en-US"/>
        </w:rPr>
        <w:t>均为外校，</w:t>
      </w:r>
      <w:r>
        <w:rPr>
          <w:rStyle w:val="26"/>
          <w:rFonts w:hint="eastAsia" w:ascii="仿宋_GB2312" w:hAnsi="黑体" w:eastAsia="仿宋_GB2312" w:cs="黑体"/>
          <w:bCs/>
          <w:color w:val="auto"/>
          <w:sz w:val="28"/>
          <w:szCs w:val="28"/>
        </w:rPr>
        <w:t>保证了良好学缘体系。</w:t>
      </w:r>
    </w:p>
    <w:p>
      <w:pPr>
        <w:spacing w:line="360" w:lineRule="auto"/>
        <w:ind w:firstLine="560" w:firstLineChars="200"/>
        <w:rPr>
          <w:bCs/>
          <w:kern w:val="0"/>
          <w:sz w:val="28"/>
          <w:szCs w:val="28"/>
        </w:rPr>
      </w:pPr>
      <w:r>
        <w:rPr>
          <w:b/>
          <w:kern w:val="0"/>
          <w:sz w:val="28"/>
          <w:szCs w:val="28"/>
        </w:rPr>
        <w:t>学历情况</w:t>
      </w:r>
      <w:r>
        <w:rPr>
          <w:bCs/>
          <w:kern w:val="0"/>
          <w:sz w:val="28"/>
          <w:szCs w:val="28"/>
        </w:rPr>
        <w:t>：</w:t>
      </w:r>
      <w:r>
        <w:rPr>
          <w:rStyle w:val="26"/>
          <w:rFonts w:hint="eastAsia" w:ascii="仿宋_GB2312" w:hAnsi="黑体" w:eastAsia="仿宋_GB2312" w:cs="黑体"/>
          <w:bCs/>
          <w:sz w:val="28"/>
          <w:szCs w:val="28"/>
        </w:rPr>
        <w:t>报考学位点的研究生基本都具有大学本科学历。</w:t>
      </w:r>
    </w:p>
    <w:p>
      <w:pPr>
        <w:spacing w:line="360" w:lineRule="auto"/>
        <w:ind w:firstLine="562" w:firstLineChars="200"/>
        <w:rPr>
          <w:rStyle w:val="26"/>
          <w:rFonts w:ascii="仿宋_GB2312" w:hAnsi="方正仿宋简体" w:eastAsia="仿宋_GB2312" w:cs="方正仿宋简体"/>
          <w:b/>
          <w:bCs/>
          <w:sz w:val="28"/>
          <w:szCs w:val="28"/>
        </w:rPr>
      </w:pPr>
      <w:r>
        <w:rPr>
          <w:rStyle w:val="26"/>
          <w:rFonts w:hint="eastAsia" w:ascii="仿宋_GB2312" w:hAnsi="方正仿宋简体" w:eastAsia="仿宋_GB2312" w:cs="方正仿宋简体"/>
          <w:b/>
          <w:bCs/>
          <w:sz w:val="28"/>
          <w:szCs w:val="28"/>
        </w:rPr>
        <w:t>4.1.3保证生源质量措施</w:t>
      </w:r>
    </w:p>
    <w:p>
      <w:pPr>
        <w:ind w:firstLine="560" w:firstLineChars="200"/>
        <w:rPr>
          <w:rStyle w:val="26"/>
          <w:rFonts w:ascii="仿宋_GB2312" w:hAnsi="黑体" w:eastAsia="仿宋_GB2312" w:cs="黑体"/>
          <w:bCs/>
          <w:sz w:val="28"/>
          <w:szCs w:val="28"/>
        </w:rPr>
      </w:pPr>
      <w:r>
        <w:rPr>
          <w:rStyle w:val="26"/>
          <w:rFonts w:hint="eastAsia" w:ascii="仿宋_GB2312" w:hAnsi="黑体" w:eastAsia="仿宋_GB2312" w:cs="黑体"/>
          <w:bCs/>
          <w:sz w:val="28"/>
          <w:szCs w:val="28"/>
        </w:rPr>
        <w:t xml:space="preserve">本学位点严格执行教育部颁布的《全国硕士研究生招生工作管理规定》，注重考核考生的专业素质、综合素质；分资格审查、笔试、面试等环节，每年9月份招收一批优秀的具有学士学位的考生入学。 </w:t>
      </w:r>
    </w:p>
    <w:p>
      <w:pPr>
        <w:widowControl/>
        <w:spacing w:line="560" w:lineRule="exact"/>
        <w:ind w:firstLine="643" w:firstLineChars="200"/>
        <w:textAlignment w:val="baseline"/>
        <w:rPr>
          <w:rStyle w:val="26"/>
          <w:rFonts w:ascii="仿宋_GB2312" w:hAnsi="黑体" w:eastAsia="仿宋_GB2312" w:cs="黑体"/>
          <w:b/>
          <w:sz w:val="32"/>
          <w:szCs w:val="32"/>
        </w:rPr>
      </w:pPr>
      <w:r>
        <w:rPr>
          <w:rStyle w:val="26"/>
          <w:rFonts w:hint="eastAsia" w:ascii="仿宋_GB2312" w:hAnsi="黑体" w:eastAsia="仿宋_GB2312" w:cs="黑体"/>
          <w:b/>
          <w:sz w:val="32"/>
          <w:szCs w:val="32"/>
        </w:rPr>
        <w:t>（二）教师队伍建设</w:t>
      </w:r>
    </w:p>
    <w:p>
      <w:pPr>
        <w:pStyle w:val="3"/>
        <w:spacing w:line="360" w:lineRule="auto"/>
        <w:ind w:firstLine="560"/>
        <w:rPr>
          <w:rStyle w:val="26"/>
          <w:rFonts w:ascii="仿宋_GB2312" w:hAnsi="方正仿宋简体" w:eastAsia="仿宋_GB2312" w:cs="方正仿宋简体"/>
          <w:sz w:val="28"/>
          <w:szCs w:val="21"/>
        </w:rPr>
      </w:pPr>
      <w:r>
        <w:rPr>
          <w:rStyle w:val="26"/>
          <w:rFonts w:hint="eastAsia" w:ascii="仿宋_GB2312" w:hAnsi="方正仿宋简体" w:eastAsia="仿宋_GB2312" w:cs="方正仿宋简体"/>
          <w:sz w:val="28"/>
          <w:szCs w:val="21"/>
        </w:rPr>
        <w:t>本学科点共有专任教师3</w:t>
      </w:r>
      <w:r>
        <w:rPr>
          <w:rStyle w:val="26"/>
          <w:rFonts w:ascii="仿宋_GB2312" w:hAnsi="方正仿宋简体" w:eastAsia="仿宋_GB2312" w:cs="方正仿宋简体"/>
          <w:sz w:val="28"/>
          <w:szCs w:val="21"/>
        </w:rPr>
        <w:t>5</w:t>
      </w:r>
      <w:r>
        <w:rPr>
          <w:rStyle w:val="26"/>
          <w:rFonts w:hint="eastAsia" w:ascii="仿宋_GB2312" w:hAnsi="方正仿宋简体" w:eastAsia="仿宋_GB2312" w:cs="方正仿宋简体"/>
          <w:sz w:val="28"/>
          <w:szCs w:val="21"/>
        </w:rPr>
        <w:t>名，硕导2</w:t>
      </w:r>
      <w:r>
        <w:rPr>
          <w:rStyle w:val="26"/>
          <w:rFonts w:ascii="仿宋_GB2312" w:hAnsi="方正仿宋简体" w:eastAsia="仿宋_GB2312" w:cs="方正仿宋简体"/>
          <w:sz w:val="28"/>
          <w:szCs w:val="21"/>
        </w:rPr>
        <w:t>8人，</w:t>
      </w:r>
      <w:r>
        <w:rPr>
          <w:rStyle w:val="26"/>
          <w:rFonts w:hint="eastAsia" w:ascii="仿宋_GB2312" w:hAnsi="方正仿宋简体" w:eastAsia="仿宋_GB2312" w:cs="方正仿宋简体"/>
          <w:sz w:val="28"/>
          <w:szCs w:val="21"/>
        </w:rPr>
        <w:t>其中教授1</w:t>
      </w:r>
      <w:r>
        <w:rPr>
          <w:rStyle w:val="26"/>
          <w:rFonts w:ascii="仿宋_GB2312" w:hAnsi="方正仿宋简体" w:eastAsia="仿宋_GB2312" w:cs="方正仿宋简体"/>
          <w:sz w:val="28"/>
          <w:szCs w:val="21"/>
        </w:rPr>
        <w:t>1</w:t>
      </w:r>
      <w:r>
        <w:rPr>
          <w:rStyle w:val="26"/>
          <w:rFonts w:hint="eastAsia" w:ascii="仿宋_GB2312" w:hAnsi="方正仿宋简体" w:eastAsia="仿宋_GB2312" w:cs="方正仿宋简体"/>
          <w:sz w:val="28"/>
          <w:szCs w:val="21"/>
        </w:rPr>
        <w:t>名，副教授1</w:t>
      </w:r>
      <w:r>
        <w:rPr>
          <w:rStyle w:val="26"/>
          <w:rFonts w:ascii="仿宋_GB2312" w:hAnsi="方正仿宋简体" w:eastAsia="仿宋_GB2312" w:cs="方正仿宋简体"/>
          <w:sz w:val="28"/>
          <w:szCs w:val="21"/>
        </w:rPr>
        <w:t>8</w:t>
      </w:r>
      <w:r>
        <w:rPr>
          <w:rStyle w:val="26"/>
          <w:rFonts w:hint="eastAsia" w:ascii="仿宋_GB2312" w:hAnsi="方正仿宋简体" w:eastAsia="仿宋_GB2312" w:cs="方正仿宋简体"/>
          <w:sz w:val="28"/>
          <w:szCs w:val="21"/>
        </w:rPr>
        <w:t>名，具有高级职称比例占8</w:t>
      </w:r>
      <w:r>
        <w:rPr>
          <w:rStyle w:val="26"/>
          <w:rFonts w:ascii="仿宋_GB2312" w:hAnsi="方正仿宋简体" w:eastAsia="仿宋_GB2312" w:cs="方正仿宋简体"/>
          <w:sz w:val="28"/>
          <w:szCs w:val="21"/>
        </w:rPr>
        <w:t>3</w:t>
      </w:r>
      <w:r>
        <w:rPr>
          <w:rStyle w:val="26"/>
          <w:rFonts w:hint="eastAsia" w:ascii="仿宋_GB2312" w:hAnsi="方正仿宋简体" w:eastAsia="仿宋_GB2312" w:cs="方正仿宋简体"/>
          <w:sz w:val="28"/>
          <w:szCs w:val="21"/>
        </w:rPr>
        <w:t>%以上，博士1</w:t>
      </w:r>
      <w:r>
        <w:rPr>
          <w:rStyle w:val="26"/>
          <w:rFonts w:ascii="仿宋_GB2312" w:hAnsi="方正仿宋简体" w:eastAsia="仿宋_GB2312" w:cs="方正仿宋简体"/>
          <w:sz w:val="28"/>
          <w:szCs w:val="21"/>
        </w:rPr>
        <w:t>9</w:t>
      </w:r>
      <w:r>
        <w:rPr>
          <w:rStyle w:val="26"/>
          <w:rFonts w:hint="eastAsia" w:ascii="仿宋_GB2312" w:hAnsi="方正仿宋简体" w:eastAsia="仿宋_GB2312" w:cs="方正仿宋简体"/>
          <w:sz w:val="28"/>
          <w:szCs w:val="21"/>
        </w:rPr>
        <w:t>名，占总人数5</w:t>
      </w:r>
      <w:r>
        <w:rPr>
          <w:rStyle w:val="26"/>
          <w:rFonts w:ascii="仿宋_GB2312" w:hAnsi="方正仿宋简体" w:eastAsia="仿宋_GB2312" w:cs="方正仿宋简体"/>
          <w:sz w:val="28"/>
          <w:szCs w:val="21"/>
        </w:rPr>
        <w:t>4</w:t>
      </w:r>
      <w:r>
        <w:rPr>
          <w:rStyle w:val="26"/>
          <w:rFonts w:hint="eastAsia" w:ascii="仿宋_GB2312" w:hAnsi="方正仿宋简体" w:eastAsia="仿宋_GB2312" w:cs="方正仿宋简体"/>
          <w:sz w:val="28"/>
          <w:szCs w:val="21"/>
        </w:rPr>
        <w:t>%；5</w:t>
      </w:r>
      <w:r>
        <w:rPr>
          <w:rStyle w:val="26"/>
          <w:rFonts w:ascii="仿宋_GB2312" w:hAnsi="方正仿宋简体" w:eastAsia="仿宋_GB2312" w:cs="方正仿宋简体"/>
          <w:sz w:val="28"/>
          <w:szCs w:val="21"/>
        </w:rPr>
        <w:t>0</w:t>
      </w:r>
      <w:r>
        <w:rPr>
          <w:rStyle w:val="26"/>
          <w:rFonts w:hint="eastAsia" w:ascii="仿宋_GB2312" w:hAnsi="方正仿宋简体" w:eastAsia="仿宋_GB2312" w:cs="方正仿宋简体"/>
          <w:sz w:val="28"/>
          <w:szCs w:val="21"/>
        </w:rPr>
        <w:t>岁以下22人，占总人数6</w:t>
      </w:r>
      <w:r>
        <w:rPr>
          <w:rStyle w:val="26"/>
          <w:rFonts w:ascii="仿宋_GB2312" w:hAnsi="方正仿宋简体" w:eastAsia="仿宋_GB2312" w:cs="方正仿宋简体"/>
          <w:sz w:val="28"/>
          <w:szCs w:val="21"/>
        </w:rPr>
        <w:t>8.6</w:t>
      </w:r>
      <w:r>
        <w:rPr>
          <w:rStyle w:val="26"/>
          <w:rFonts w:hint="eastAsia" w:ascii="仿宋_GB2312" w:hAnsi="方正仿宋简体" w:eastAsia="仿宋_GB2312" w:cs="方正仿宋简体"/>
          <w:sz w:val="28"/>
          <w:szCs w:val="21"/>
        </w:rPr>
        <w:t>%；具有海外专任教师8人，占总人数2</w:t>
      </w:r>
      <w:r>
        <w:rPr>
          <w:rStyle w:val="26"/>
          <w:rFonts w:ascii="仿宋_GB2312" w:hAnsi="方正仿宋简体" w:eastAsia="仿宋_GB2312" w:cs="方正仿宋简体"/>
          <w:sz w:val="28"/>
          <w:szCs w:val="21"/>
        </w:rPr>
        <w:t>2.8%，</w:t>
      </w:r>
      <w:r>
        <w:rPr>
          <w:rStyle w:val="26"/>
          <w:rFonts w:hint="eastAsia" w:ascii="仿宋_GB2312" w:hAnsi="方正仿宋简体" w:eastAsia="仿宋_GB2312" w:cs="方正仿宋简体"/>
          <w:sz w:val="28"/>
          <w:szCs w:val="21"/>
        </w:rPr>
        <w:t>获得外单位硕士以上学位占97%以上，职称结构、学历结构、年龄结构和学缘结构合理，学术梯队具有可持续发展能力。</w:t>
      </w:r>
    </w:p>
    <w:p>
      <w:pPr>
        <w:pStyle w:val="30"/>
        <w:snapToGrid w:val="0"/>
        <w:spacing w:line="360" w:lineRule="auto"/>
        <w:ind w:firstLine="560"/>
        <w:rPr>
          <w:rStyle w:val="26"/>
          <w:rFonts w:ascii="仿宋_GB2312" w:hAnsi="黑体" w:eastAsia="仿宋_GB2312" w:cs="黑体"/>
          <w:bCs/>
          <w:sz w:val="28"/>
          <w:szCs w:val="28"/>
        </w:rPr>
      </w:pPr>
      <w:r>
        <w:rPr>
          <w:rStyle w:val="26"/>
          <w:rFonts w:hint="eastAsia" w:ascii="仿宋_GB2312" w:hAnsi="黑体" w:eastAsia="仿宋_GB2312" w:cs="黑体"/>
          <w:bCs/>
          <w:sz w:val="28"/>
          <w:szCs w:val="28"/>
        </w:rPr>
        <w:t>刘斌教授、程月明副教授、刘传喜副教授分别为会计学、企业管理、旅游管理的方向带头人，均已培养过6名以上硕士。每个二级学科方向专任教师队伍均为7人以上，学术骨干教师2名，完整指导过至少一届硕士毕业生（见表6）。</w:t>
      </w:r>
    </w:p>
    <w:p>
      <w:pPr>
        <w:pStyle w:val="30"/>
        <w:snapToGrid w:val="0"/>
        <w:spacing w:line="360" w:lineRule="auto"/>
        <w:ind w:firstLine="560"/>
        <w:rPr>
          <w:rStyle w:val="26"/>
          <w:rFonts w:ascii="仿宋_GB2312" w:hAnsi="黑体" w:eastAsia="仿宋_GB2312" w:cs="黑体"/>
          <w:bCs/>
          <w:sz w:val="28"/>
          <w:szCs w:val="28"/>
        </w:rPr>
      </w:pPr>
      <w:r>
        <w:rPr>
          <w:rStyle w:val="26"/>
          <w:rFonts w:hint="eastAsia" w:ascii="仿宋_GB2312" w:hAnsi="黑体" w:eastAsia="仿宋_GB2312" w:cs="黑体"/>
          <w:bCs/>
          <w:sz w:val="28"/>
          <w:szCs w:val="28"/>
        </w:rPr>
        <w:t xml:space="preserve"> </w:t>
      </w:r>
    </w:p>
    <w:p>
      <w:pPr>
        <w:jc w:val="center"/>
      </w:pPr>
      <w:r>
        <w:rPr>
          <w:rStyle w:val="26"/>
          <w:rFonts w:hint="eastAsia" w:ascii="仿宋_GB2312" w:hAnsi="方正仿宋简体" w:eastAsia="仿宋_GB2312" w:cs="方正仿宋简体"/>
          <w:b/>
          <w:bCs/>
          <w:sz w:val="22"/>
          <w:szCs w:val="30"/>
        </w:rPr>
        <w:t>表6  学科带头人及骨干教师情况一览表</w:t>
      </w:r>
    </w:p>
    <w:tbl>
      <w:tblPr>
        <w:tblStyle w:val="1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612"/>
        <w:gridCol w:w="456"/>
        <w:gridCol w:w="732"/>
        <w:gridCol w:w="600"/>
        <w:gridCol w:w="768"/>
        <w:gridCol w:w="696"/>
        <w:gridCol w:w="790"/>
        <w:gridCol w:w="857"/>
        <w:gridCol w:w="599"/>
        <w:gridCol w:w="1136"/>
        <w:gridCol w:w="324"/>
        <w:gridCol w:w="507"/>
        <w:gridCol w:w="601"/>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学科方向</w:t>
            </w:r>
          </w:p>
        </w:tc>
        <w:tc>
          <w:tcPr>
            <w:tcW w:w="7246" w:type="dxa"/>
            <w:gridSpan w:val="10"/>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企业管理</w:t>
            </w:r>
          </w:p>
        </w:tc>
        <w:tc>
          <w:tcPr>
            <w:tcW w:w="324"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专任教师</w:t>
            </w:r>
          </w:p>
        </w:tc>
        <w:tc>
          <w:tcPr>
            <w:tcW w:w="50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4</w:t>
            </w:r>
          </w:p>
        </w:tc>
        <w:tc>
          <w:tcPr>
            <w:tcW w:w="601"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正高级职称数</w:t>
            </w:r>
          </w:p>
        </w:tc>
        <w:tc>
          <w:tcPr>
            <w:tcW w:w="59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序号</w:t>
            </w:r>
          </w:p>
        </w:tc>
        <w:tc>
          <w:tcPr>
            <w:tcW w:w="61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姓名</w:t>
            </w:r>
          </w:p>
        </w:tc>
        <w:tc>
          <w:tcPr>
            <w:tcW w:w="45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年龄</w:t>
            </w:r>
          </w:p>
        </w:tc>
        <w:tc>
          <w:tcPr>
            <w:tcW w:w="73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专业技术职务</w:t>
            </w:r>
          </w:p>
        </w:tc>
        <w:tc>
          <w:tcPr>
            <w:tcW w:w="60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导师类别</w:t>
            </w:r>
          </w:p>
        </w:tc>
        <w:tc>
          <w:tcPr>
            <w:tcW w:w="768"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最高学位</w:t>
            </w:r>
          </w:p>
        </w:tc>
        <w:tc>
          <w:tcPr>
            <w:tcW w:w="69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本单位工作年限</w:t>
            </w:r>
          </w:p>
        </w:tc>
        <w:tc>
          <w:tcPr>
            <w:tcW w:w="79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年均课时数</w:t>
            </w:r>
          </w:p>
        </w:tc>
        <w:tc>
          <w:tcPr>
            <w:tcW w:w="85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主要研究方向</w:t>
            </w:r>
          </w:p>
        </w:tc>
        <w:tc>
          <w:tcPr>
            <w:tcW w:w="599"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是否第一学科</w:t>
            </w:r>
          </w:p>
        </w:tc>
        <w:tc>
          <w:tcPr>
            <w:tcW w:w="113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国内外重要学术组织任职</w:t>
            </w:r>
          </w:p>
        </w:tc>
        <w:tc>
          <w:tcPr>
            <w:tcW w:w="2028" w:type="dxa"/>
            <w:gridSpan w:val="4"/>
            <w:vAlign w:val="center"/>
          </w:tcPr>
          <w:p>
            <w:pPr>
              <w:keepNext w:val="0"/>
              <w:keepLines w:val="0"/>
              <w:suppressLineNumbers w:val="0"/>
              <w:spacing w:before="0" w:beforeAutospacing="0" w:after="0" w:afterAutospacing="0"/>
              <w:ind w:left="0" w:right="0"/>
              <w:jc w:val="center"/>
              <w:rPr>
                <w:rFonts w:hint="default"/>
                <w:sz w:val="15"/>
                <w:szCs w:val="15"/>
              </w:rPr>
            </w:pPr>
          </w:p>
          <w:p>
            <w:pPr>
              <w:keepNext w:val="0"/>
              <w:keepLines w:val="0"/>
              <w:suppressLineNumbers w:val="0"/>
              <w:spacing w:before="0" w:beforeAutospacing="0" w:after="0" w:afterAutospacing="0"/>
              <w:ind w:left="0" w:right="0"/>
              <w:jc w:val="center"/>
              <w:rPr>
                <w:rFonts w:hint="default"/>
                <w:sz w:val="15"/>
                <w:szCs w:val="15"/>
              </w:rPr>
            </w:pPr>
          </w:p>
          <w:p>
            <w:pPr>
              <w:keepNext w:val="0"/>
              <w:keepLines w:val="0"/>
              <w:suppressLineNumbers w:val="0"/>
              <w:spacing w:before="0" w:beforeAutospacing="0" w:after="0" w:afterAutospacing="0"/>
              <w:ind w:left="0" w:right="0"/>
              <w:jc w:val="center"/>
              <w:rPr>
                <w:rFonts w:hint="default"/>
                <w:sz w:val="15"/>
                <w:szCs w:val="15"/>
              </w:rPr>
            </w:pPr>
            <w:r>
              <w:rPr>
                <w:rFonts w:hint="eastAsia"/>
                <w:sz w:val="15"/>
                <w:szCs w:val="15"/>
              </w:rPr>
              <w:t>其他情况介绍（限50字）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1</w:t>
            </w:r>
          </w:p>
        </w:tc>
        <w:tc>
          <w:tcPr>
            <w:tcW w:w="61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程月明</w:t>
            </w:r>
          </w:p>
        </w:tc>
        <w:tc>
          <w:tcPr>
            <w:tcW w:w="45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5</w:t>
            </w:r>
            <w:r>
              <w:rPr>
                <w:rFonts w:hint="default"/>
                <w:sz w:val="15"/>
                <w:szCs w:val="15"/>
              </w:rPr>
              <w:t>3</w:t>
            </w:r>
          </w:p>
        </w:tc>
        <w:tc>
          <w:tcPr>
            <w:tcW w:w="73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副高级</w:t>
            </w:r>
          </w:p>
        </w:tc>
        <w:tc>
          <w:tcPr>
            <w:tcW w:w="60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硕导</w:t>
            </w:r>
          </w:p>
        </w:tc>
        <w:tc>
          <w:tcPr>
            <w:tcW w:w="768"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博士</w:t>
            </w:r>
          </w:p>
        </w:tc>
        <w:tc>
          <w:tcPr>
            <w:tcW w:w="69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default" w:cstheme="minorBidi"/>
                <w:sz w:val="15"/>
                <w:szCs w:val="15"/>
              </w:rPr>
              <w:t>11</w:t>
            </w:r>
          </w:p>
        </w:tc>
        <w:tc>
          <w:tcPr>
            <w:tcW w:w="79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364</w:t>
            </w:r>
          </w:p>
        </w:tc>
        <w:tc>
          <w:tcPr>
            <w:tcW w:w="85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企业竞争优势与企业发展</w:t>
            </w:r>
          </w:p>
        </w:tc>
        <w:tc>
          <w:tcPr>
            <w:tcW w:w="599"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是</w:t>
            </w:r>
          </w:p>
        </w:tc>
        <w:tc>
          <w:tcPr>
            <w:tcW w:w="1136"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中国企业改革与发展研究会特聘研究员、江西省民营经济研究中心特聘专家。</w:t>
            </w:r>
          </w:p>
        </w:tc>
        <w:tc>
          <w:tcPr>
            <w:tcW w:w="2028" w:type="dxa"/>
            <w:gridSpan w:val="4"/>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主持或参与省级以上课题10余项，发表论文30余篇,专著一部，获奖2项。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2</w:t>
            </w:r>
          </w:p>
        </w:tc>
        <w:tc>
          <w:tcPr>
            <w:tcW w:w="61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曾灏</w:t>
            </w:r>
          </w:p>
        </w:tc>
        <w:tc>
          <w:tcPr>
            <w:tcW w:w="45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3</w:t>
            </w:r>
            <w:r>
              <w:rPr>
                <w:rFonts w:hint="default"/>
                <w:sz w:val="15"/>
                <w:szCs w:val="15"/>
              </w:rPr>
              <w:t>9</w:t>
            </w:r>
          </w:p>
        </w:tc>
        <w:tc>
          <w:tcPr>
            <w:tcW w:w="73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副高级</w:t>
            </w:r>
          </w:p>
        </w:tc>
        <w:tc>
          <w:tcPr>
            <w:tcW w:w="60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硕导</w:t>
            </w:r>
          </w:p>
        </w:tc>
        <w:tc>
          <w:tcPr>
            <w:tcW w:w="768"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博士</w:t>
            </w:r>
          </w:p>
        </w:tc>
        <w:tc>
          <w:tcPr>
            <w:tcW w:w="696" w:type="dxa"/>
            <w:vAlign w:val="center"/>
          </w:tcPr>
          <w:p>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sz w:val="15"/>
                <w:szCs w:val="15"/>
              </w:rPr>
            </w:pPr>
            <w:r>
              <w:rPr>
                <w:rFonts w:hint="default" w:cstheme="minorBidi"/>
                <w:sz w:val="15"/>
                <w:szCs w:val="15"/>
              </w:rPr>
              <w:t>12</w:t>
            </w:r>
          </w:p>
        </w:tc>
        <w:tc>
          <w:tcPr>
            <w:tcW w:w="79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426</w:t>
            </w:r>
          </w:p>
        </w:tc>
        <w:tc>
          <w:tcPr>
            <w:tcW w:w="85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人力资源管理、绩效管理、薪酬管理</w:t>
            </w:r>
          </w:p>
        </w:tc>
        <w:tc>
          <w:tcPr>
            <w:tcW w:w="599"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是</w:t>
            </w:r>
          </w:p>
        </w:tc>
        <w:tc>
          <w:tcPr>
            <w:tcW w:w="113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中国管理研究国际学会IACMR会；员、江苏人力资源管理学会会员</w:t>
            </w:r>
          </w:p>
        </w:tc>
        <w:tc>
          <w:tcPr>
            <w:tcW w:w="2028" w:type="dxa"/>
            <w:gridSpan w:val="4"/>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主持国家课题1项，参与国家课题5项，主持省级课题5项;荣获第九届“全国百篇优秀管理案例":发表论C刊3篇（A类1篇)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3</w:t>
            </w:r>
          </w:p>
        </w:tc>
        <w:tc>
          <w:tcPr>
            <w:tcW w:w="61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王燕子</w:t>
            </w:r>
          </w:p>
        </w:tc>
        <w:tc>
          <w:tcPr>
            <w:tcW w:w="45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default"/>
                <w:sz w:val="15"/>
                <w:szCs w:val="15"/>
              </w:rPr>
              <w:t>41</w:t>
            </w:r>
          </w:p>
        </w:tc>
        <w:tc>
          <w:tcPr>
            <w:tcW w:w="73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副高级</w:t>
            </w:r>
          </w:p>
        </w:tc>
        <w:tc>
          <w:tcPr>
            <w:tcW w:w="600"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硕导</w:t>
            </w:r>
          </w:p>
        </w:tc>
        <w:tc>
          <w:tcPr>
            <w:tcW w:w="768"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博士</w:t>
            </w:r>
          </w:p>
        </w:tc>
        <w:tc>
          <w:tcPr>
            <w:tcW w:w="696" w:type="dxa"/>
            <w:vAlign w:val="center"/>
          </w:tcPr>
          <w:p>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sz w:val="15"/>
                <w:szCs w:val="15"/>
              </w:rPr>
            </w:pPr>
            <w:r>
              <w:rPr>
                <w:rFonts w:hint="default" w:cstheme="minorBidi"/>
                <w:sz w:val="15"/>
                <w:szCs w:val="15"/>
              </w:rPr>
              <w:t>9</w:t>
            </w:r>
          </w:p>
        </w:tc>
        <w:tc>
          <w:tcPr>
            <w:tcW w:w="79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606</w:t>
            </w:r>
          </w:p>
        </w:tc>
        <w:tc>
          <w:tcPr>
            <w:tcW w:w="85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人力资源管理、职业教育发展与管理</w:t>
            </w:r>
          </w:p>
        </w:tc>
        <w:tc>
          <w:tcPr>
            <w:tcW w:w="599"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是</w:t>
            </w:r>
          </w:p>
        </w:tc>
        <w:tc>
          <w:tcPr>
            <w:tcW w:w="113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无</w:t>
            </w:r>
          </w:p>
        </w:tc>
        <w:tc>
          <w:tcPr>
            <w:tcW w:w="2028" w:type="dxa"/>
            <w:gridSpan w:val="4"/>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发表C刊、核心期刊7篇,专著1本，主持省级课题4项,参与国家课题2项.</w:t>
            </w:r>
          </w:p>
        </w:tc>
      </w:tr>
    </w:tbl>
    <w:p>
      <w:pPr>
        <w:widowControl/>
        <w:jc w:val="left"/>
      </w:pPr>
    </w:p>
    <w:p>
      <w:pPr>
        <w:widowControl/>
        <w:jc w:val="left"/>
      </w:pPr>
    </w:p>
    <w:p>
      <w:pPr>
        <w:widowControl/>
        <w:jc w:val="left"/>
      </w:pPr>
    </w:p>
    <w:tbl>
      <w:tblPr>
        <w:tblStyle w:val="1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612"/>
        <w:gridCol w:w="456"/>
        <w:gridCol w:w="732"/>
        <w:gridCol w:w="600"/>
        <w:gridCol w:w="768"/>
        <w:gridCol w:w="696"/>
        <w:gridCol w:w="790"/>
        <w:gridCol w:w="857"/>
        <w:gridCol w:w="599"/>
        <w:gridCol w:w="1136"/>
        <w:gridCol w:w="324"/>
        <w:gridCol w:w="507"/>
        <w:gridCol w:w="601"/>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学科方向</w:t>
            </w:r>
          </w:p>
        </w:tc>
        <w:tc>
          <w:tcPr>
            <w:tcW w:w="7246" w:type="dxa"/>
            <w:gridSpan w:val="10"/>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会计学</w:t>
            </w:r>
          </w:p>
        </w:tc>
        <w:tc>
          <w:tcPr>
            <w:tcW w:w="324"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专任教师</w:t>
            </w:r>
          </w:p>
        </w:tc>
        <w:tc>
          <w:tcPr>
            <w:tcW w:w="50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3</w:t>
            </w:r>
          </w:p>
        </w:tc>
        <w:tc>
          <w:tcPr>
            <w:tcW w:w="601"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正高级职称数</w:t>
            </w:r>
          </w:p>
        </w:tc>
        <w:tc>
          <w:tcPr>
            <w:tcW w:w="59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序号</w:t>
            </w:r>
          </w:p>
        </w:tc>
        <w:tc>
          <w:tcPr>
            <w:tcW w:w="61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姓名</w:t>
            </w:r>
          </w:p>
        </w:tc>
        <w:tc>
          <w:tcPr>
            <w:tcW w:w="45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年龄</w:t>
            </w:r>
          </w:p>
        </w:tc>
        <w:tc>
          <w:tcPr>
            <w:tcW w:w="73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专业技术职务</w:t>
            </w:r>
          </w:p>
        </w:tc>
        <w:tc>
          <w:tcPr>
            <w:tcW w:w="60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导师类别</w:t>
            </w:r>
          </w:p>
        </w:tc>
        <w:tc>
          <w:tcPr>
            <w:tcW w:w="768"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最高学位</w:t>
            </w:r>
          </w:p>
        </w:tc>
        <w:tc>
          <w:tcPr>
            <w:tcW w:w="69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本单位工作年限</w:t>
            </w:r>
          </w:p>
        </w:tc>
        <w:tc>
          <w:tcPr>
            <w:tcW w:w="79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年均课时数</w:t>
            </w:r>
          </w:p>
        </w:tc>
        <w:tc>
          <w:tcPr>
            <w:tcW w:w="85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主要研究方向</w:t>
            </w:r>
          </w:p>
        </w:tc>
        <w:tc>
          <w:tcPr>
            <w:tcW w:w="599"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是否第一学科</w:t>
            </w:r>
          </w:p>
        </w:tc>
        <w:tc>
          <w:tcPr>
            <w:tcW w:w="113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国内外重要学术组织任职</w:t>
            </w:r>
          </w:p>
        </w:tc>
        <w:tc>
          <w:tcPr>
            <w:tcW w:w="2028" w:type="dxa"/>
            <w:gridSpan w:val="4"/>
            <w:vAlign w:val="center"/>
          </w:tcPr>
          <w:p>
            <w:pPr>
              <w:keepNext w:val="0"/>
              <w:keepLines w:val="0"/>
              <w:suppressLineNumbers w:val="0"/>
              <w:spacing w:before="0" w:beforeAutospacing="0" w:after="0" w:afterAutospacing="0"/>
              <w:ind w:left="0" w:right="0"/>
              <w:jc w:val="center"/>
              <w:rPr>
                <w:rFonts w:hint="default"/>
                <w:sz w:val="15"/>
                <w:szCs w:val="15"/>
              </w:rPr>
            </w:pPr>
          </w:p>
          <w:p>
            <w:pPr>
              <w:keepNext w:val="0"/>
              <w:keepLines w:val="0"/>
              <w:suppressLineNumbers w:val="0"/>
              <w:spacing w:before="0" w:beforeAutospacing="0" w:after="0" w:afterAutospacing="0"/>
              <w:ind w:left="0" w:right="0"/>
              <w:jc w:val="center"/>
              <w:rPr>
                <w:rFonts w:hint="default"/>
                <w:sz w:val="15"/>
                <w:szCs w:val="15"/>
              </w:rPr>
            </w:pPr>
          </w:p>
          <w:p>
            <w:pPr>
              <w:keepNext w:val="0"/>
              <w:keepLines w:val="0"/>
              <w:suppressLineNumbers w:val="0"/>
              <w:spacing w:before="0" w:beforeAutospacing="0" w:after="0" w:afterAutospacing="0"/>
              <w:ind w:left="0" w:right="0"/>
              <w:jc w:val="center"/>
              <w:rPr>
                <w:rFonts w:hint="default"/>
                <w:sz w:val="15"/>
                <w:szCs w:val="15"/>
              </w:rPr>
            </w:pPr>
            <w:r>
              <w:rPr>
                <w:rFonts w:hint="eastAsia"/>
                <w:sz w:val="15"/>
                <w:szCs w:val="15"/>
              </w:rPr>
              <w:t>其他情况介绍（限50字）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1</w:t>
            </w:r>
          </w:p>
        </w:tc>
        <w:tc>
          <w:tcPr>
            <w:tcW w:w="61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刘斌</w:t>
            </w:r>
          </w:p>
        </w:tc>
        <w:tc>
          <w:tcPr>
            <w:tcW w:w="45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4</w:t>
            </w:r>
            <w:r>
              <w:rPr>
                <w:rFonts w:hint="default"/>
                <w:sz w:val="15"/>
                <w:szCs w:val="15"/>
              </w:rPr>
              <w:t>9</w:t>
            </w:r>
          </w:p>
        </w:tc>
        <w:tc>
          <w:tcPr>
            <w:tcW w:w="73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正高级</w:t>
            </w:r>
          </w:p>
        </w:tc>
        <w:tc>
          <w:tcPr>
            <w:tcW w:w="60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硕导</w:t>
            </w:r>
          </w:p>
        </w:tc>
        <w:tc>
          <w:tcPr>
            <w:tcW w:w="768"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博士</w:t>
            </w:r>
          </w:p>
        </w:tc>
        <w:tc>
          <w:tcPr>
            <w:tcW w:w="69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2</w:t>
            </w:r>
            <w:r>
              <w:rPr>
                <w:rFonts w:hint="default"/>
                <w:sz w:val="15"/>
                <w:szCs w:val="15"/>
              </w:rPr>
              <w:t>7</w:t>
            </w:r>
          </w:p>
        </w:tc>
        <w:tc>
          <w:tcPr>
            <w:tcW w:w="79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551</w:t>
            </w:r>
          </w:p>
        </w:tc>
        <w:tc>
          <w:tcPr>
            <w:tcW w:w="85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会计学；公共管理；财务成本管理；公司理财</w:t>
            </w:r>
          </w:p>
        </w:tc>
        <w:tc>
          <w:tcPr>
            <w:tcW w:w="599"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是</w:t>
            </w:r>
          </w:p>
        </w:tc>
        <w:tc>
          <w:tcPr>
            <w:tcW w:w="1136"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江西省管理学会常务理事、中国商业会计学会理事</w:t>
            </w:r>
          </w:p>
        </w:tc>
        <w:tc>
          <w:tcPr>
            <w:tcW w:w="2028" w:type="dxa"/>
            <w:gridSpan w:val="4"/>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己发表论文40余篇，专著2本，教材2本，主持或参与国家级、省级课题17项，已获江西省社科成果三等奖1项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2</w:t>
            </w:r>
          </w:p>
        </w:tc>
        <w:tc>
          <w:tcPr>
            <w:tcW w:w="61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罗焰</w:t>
            </w:r>
          </w:p>
        </w:tc>
        <w:tc>
          <w:tcPr>
            <w:tcW w:w="45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5</w:t>
            </w:r>
            <w:r>
              <w:rPr>
                <w:rFonts w:hint="default"/>
                <w:sz w:val="15"/>
                <w:szCs w:val="15"/>
              </w:rPr>
              <w:t>5</w:t>
            </w:r>
          </w:p>
        </w:tc>
        <w:tc>
          <w:tcPr>
            <w:tcW w:w="73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正高级</w:t>
            </w:r>
          </w:p>
        </w:tc>
        <w:tc>
          <w:tcPr>
            <w:tcW w:w="60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硕导</w:t>
            </w:r>
          </w:p>
        </w:tc>
        <w:tc>
          <w:tcPr>
            <w:tcW w:w="768"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硕士</w:t>
            </w:r>
          </w:p>
        </w:tc>
        <w:tc>
          <w:tcPr>
            <w:tcW w:w="696" w:type="dxa"/>
            <w:vAlign w:val="center"/>
          </w:tcPr>
          <w:p>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sz w:val="15"/>
                <w:szCs w:val="15"/>
              </w:rPr>
            </w:pPr>
            <w:r>
              <w:rPr>
                <w:rFonts w:hint="default" w:cstheme="minorBidi"/>
                <w:sz w:val="15"/>
                <w:szCs w:val="15"/>
              </w:rPr>
              <w:t>32</w:t>
            </w:r>
          </w:p>
        </w:tc>
        <w:tc>
          <w:tcPr>
            <w:tcW w:w="79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119</w:t>
            </w:r>
          </w:p>
        </w:tc>
        <w:tc>
          <w:tcPr>
            <w:tcW w:w="85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财务资本运作</w:t>
            </w:r>
          </w:p>
        </w:tc>
        <w:tc>
          <w:tcPr>
            <w:tcW w:w="599"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是</w:t>
            </w:r>
          </w:p>
        </w:tc>
        <w:tc>
          <w:tcPr>
            <w:tcW w:w="113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江西省中青年骨干教师、江西省管理学会副会长</w:t>
            </w:r>
          </w:p>
        </w:tc>
        <w:tc>
          <w:tcPr>
            <w:tcW w:w="2028" w:type="dxa"/>
            <w:gridSpan w:val="4"/>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主持省级课题10项，参与国家级课题1项，出版专著一部，主编教材8部,发表C刊、核心期刊论文18篇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3</w:t>
            </w:r>
          </w:p>
        </w:tc>
        <w:tc>
          <w:tcPr>
            <w:tcW w:w="61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朱再煜</w:t>
            </w:r>
          </w:p>
        </w:tc>
        <w:tc>
          <w:tcPr>
            <w:tcW w:w="45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5</w:t>
            </w:r>
            <w:r>
              <w:rPr>
                <w:rFonts w:hint="default"/>
                <w:sz w:val="15"/>
                <w:szCs w:val="15"/>
              </w:rPr>
              <w:t>5</w:t>
            </w:r>
          </w:p>
        </w:tc>
        <w:tc>
          <w:tcPr>
            <w:tcW w:w="73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正高级</w:t>
            </w:r>
          </w:p>
        </w:tc>
        <w:tc>
          <w:tcPr>
            <w:tcW w:w="600"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硕导</w:t>
            </w:r>
          </w:p>
        </w:tc>
        <w:tc>
          <w:tcPr>
            <w:tcW w:w="768"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博士</w:t>
            </w:r>
          </w:p>
        </w:tc>
        <w:tc>
          <w:tcPr>
            <w:tcW w:w="696" w:type="dxa"/>
            <w:vAlign w:val="center"/>
          </w:tcPr>
          <w:p>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sz w:val="15"/>
                <w:szCs w:val="15"/>
              </w:rPr>
            </w:pPr>
            <w:r>
              <w:rPr>
                <w:rFonts w:hint="eastAsia" w:cstheme="minorBidi"/>
                <w:sz w:val="15"/>
                <w:szCs w:val="15"/>
              </w:rPr>
              <w:t>1</w:t>
            </w:r>
            <w:r>
              <w:rPr>
                <w:rFonts w:hint="default" w:cstheme="minorBidi"/>
                <w:sz w:val="15"/>
                <w:szCs w:val="15"/>
              </w:rPr>
              <w:t>3</w:t>
            </w:r>
          </w:p>
        </w:tc>
        <w:tc>
          <w:tcPr>
            <w:tcW w:w="79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119</w:t>
            </w:r>
          </w:p>
        </w:tc>
        <w:tc>
          <w:tcPr>
            <w:tcW w:w="85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农林经济管理</w:t>
            </w:r>
          </w:p>
        </w:tc>
        <w:tc>
          <w:tcPr>
            <w:tcW w:w="599"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是</w:t>
            </w:r>
          </w:p>
        </w:tc>
        <w:tc>
          <w:tcPr>
            <w:tcW w:w="113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省政府特殊津贴专家联合国粮农组织(FAO)项目</w:t>
            </w:r>
          </w:p>
        </w:tc>
        <w:tc>
          <w:tcPr>
            <w:tcW w:w="2028" w:type="dxa"/>
            <w:gridSpan w:val="4"/>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主持获参与国家级项目16项发表论文4篇；出版专著1部。获得省社科优秀成果奖一等奖1项、三等奖1项</w:t>
            </w:r>
          </w:p>
        </w:tc>
      </w:tr>
    </w:tbl>
    <w:p>
      <w:pPr>
        <w:widowControl/>
        <w:jc w:val="left"/>
        <w:rPr>
          <w:b/>
          <w:bCs/>
          <w:sz w:val="30"/>
          <w:szCs w:val="30"/>
        </w:rPr>
      </w:pPr>
    </w:p>
    <w:tbl>
      <w:tblPr>
        <w:tblStyle w:val="1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612"/>
        <w:gridCol w:w="456"/>
        <w:gridCol w:w="732"/>
        <w:gridCol w:w="600"/>
        <w:gridCol w:w="768"/>
        <w:gridCol w:w="696"/>
        <w:gridCol w:w="790"/>
        <w:gridCol w:w="857"/>
        <w:gridCol w:w="599"/>
        <w:gridCol w:w="1136"/>
        <w:gridCol w:w="324"/>
        <w:gridCol w:w="507"/>
        <w:gridCol w:w="601"/>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学科方向</w:t>
            </w:r>
          </w:p>
        </w:tc>
        <w:tc>
          <w:tcPr>
            <w:tcW w:w="7246" w:type="dxa"/>
            <w:gridSpan w:val="10"/>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旅游管理</w:t>
            </w:r>
          </w:p>
        </w:tc>
        <w:tc>
          <w:tcPr>
            <w:tcW w:w="324"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专任教师</w:t>
            </w:r>
          </w:p>
        </w:tc>
        <w:tc>
          <w:tcPr>
            <w:tcW w:w="50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4</w:t>
            </w:r>
          </w:p>
        </w:tc>
        <w:tc>
          <w:tcPr>
            <w:tcW w:w="601"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正高级职称数</w:t>
            </w:r>
          </w:p>
        </w:tc>
        <w:tc>
          <w:tcPr>
            <w:tcW w:w="59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序号</w:t>
            </w:r>
          </w:p>
        </w:tc>
        <w:tc>
          <w:tcPr>
            <w:tcW w:w="61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姓名</w:t>
            </w:r>
          </w:p>
        </w:tc>
        <w:tc>
          <w:tcPr>
            <w:tcW w:w="45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年龄</w:t>
            </w:r>
          </w:p>
        </w:tc>
        <w:tc>
          <w:tcPr>
            <w:tcW w:w="73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专业技术职务</w:t>
            </w:r>
          </w:p>
        </w:tc>
        <w:tc>
          <w:tcPr>
            <w:tcW w:w="60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导师类别</w:t>
            </w:r>
          </w:p>
        </w:tc>
        <w:tc>
          <w:tcPr>
            <w:tcW w:w="768"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最高学位</w:t>
            </w:r>
          </w:p>
        </w:tc>
        <w:tc>
          <w:tcPr>
            <w:tcW w:w="69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本单位工作年限</w:t>
            </w:r>
          </w:p>
        </w:tc>
        <w:tc>
          <w:tcPr>
            <w:tcW w:w="79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年均课时数</w:t>
            </w:r>
          </w:p>
        </w:tc>
        <w:tc>
          <w:tcPr>
            <w:tcW w:w="85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主要研究方向</w:t>
            </w:r>
          </w:p>
        </w:tc>
        <w:tc>
          <w:tcPr>
            <w:tcW w:w="599"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是否第一学科</w:t>
            </w:r>
          </w:p>
        </w:tc>
        <w:tc>
          <w:tcPr>
            <w:tcW w:w="113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国内外重要学术组织任职</w:t>
            </w:r>
          </w:p>
        </w:tc>
        <w:tc>
          <w:tcPr>
            <w:tcW w:w="2028" w:type="dxa"/>
            <w:gridSpan w:val="4"/>
            <w:vAlign w:val="center"/>
          </w:tcPr>
          <w:p>
            <w:pPr>
              <w:keepNext w:val="0"/>
              <w:keepLines w:val="0"/>
              <w:suppressLineNumbers w:val="0"/>
              <w:spacing w:before="0" w:beforeAutospacing="0" w:after="0" w:afterAutospacing="0"/>
              <w:ind w:left="0" w:right="0"/>
              <w:jc w:val="center"/>
              <w:rPr>
                <w:rFonts w:hint="default"/>
                <w:sz w:val="15"/>
                <w:szCs w:val="15"/>
              </w:rPr>
            </w:pPr>
          </w:p>
          <w:p>
            <w:pPr>
              <w:keepNext w:val="0"/>
              <w:keepLines w:val="0"/>
              <w:suppressLineNumbers w:val="0"/>
              <w:spacing w:before="0" w:beforeAutospacing="0" w:after="0" w:afterAutospacing="0"/>
              <w:ind w:left="0" w:right="0"/>
              <w:jc w:val="center"/>
              <w:rPr>
                <w:rFonts w:hint="default"/>
                <w:sz w:val="15"/>
                <w:szCs w:val="15"/>
              </w:rPr>
            </w:pPr>
          </w:p>
          <w:p>
            <w:pPr>
              <w:keepNext w:val="0"/>
              <w:keepLines w:val="0"/>
              <w:suppressLineNumbers w:val="0"/>
              <w:spacing w:before="0" w:beforeAutospacing="0" w:after="0" w:afterAutospacing="0"/>
              <w:ind w:left="0" w:right="0"/>
              <w:jc w:val="center"/>
              <w:rPr>
                <w:rFonts w:hint="default"/>
                <w:sz w:val="15"/>
                <w:szCs w:val="15"/>
              </w:rPr>
            </w:pPr>
            <w:r>
              <w:rPr>
                <w:rFonts w:hint="eastAsia"/>
                <w:sz w:val="15"/>
                <w:szCs w:val="15"/>
              </w:rPr>
              <w:t>其他情况介绍（限50字）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1</w:t>
            </w:r>
          </w:p>
        </w:tc>
        <w:tc>
          <w:tcPr>
            <w:tcW w:w="61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谢冬明</w:t>
            </w:r>
          </w:p>
        </w:tc>
        <w:tc>
          <w:tcPr>
            <w:tcW w:w="45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4</w:t>
            </w:r>
            <w:r>
              <w:rPr>
                <w:rFonts w:hint="default"/>
                <w:sz w:val="15"/>
                <w:szCs w:val="15"/>
              </w:rPr>
              <w:t>7</w:t>
            </w:r>
          </w:p>
        </w:tc>
        <w:tc>
          <w:tcPr>
            <w:tcW w:w="73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正高级</w:t>
            </w:r>
          </w:p>
        </w:tc>
        <w:tc>
          <w:tcPr>
            <w:tcW w:w="60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硕导</w:t>
            </w:r>
          </w:p>
        </w:tc>
        <w:tc>
          <w:tcPr>
            <w:tcW w:w="768"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博士</w:t>
            </w:r>
          </w:p>
        </w:tc>
        <w:tc>
          <w:tcPr>
            <w:tcW w:w="69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default"/>
                <w:sz w:val="15"/>
                <w:szCs w:val="15"/>
              </w:rPr>
              <w:t>12</w:t>
            </w:r>
          </w:p>
        </w:tc>
        <w:tc>
          <w:tcPr>
            <w:tcW w:w="79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278</w:t>
            </w:r>
          </w:p>
        </w:tc>
        <w:tc>
          <w:tcPr>
            <w:tcW w:w="85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资源与环境经济学</w:t>
            </w:r>
          </w:p>
        </w:tc>
        <w:tc>
          <w:tcPr>
            <w:tcW w:w="599"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是</w:t>
            </w:r>
          </w:p>
        </w:tc>
        <w:tc>
          <w:tcPr>
            <w:tcW w:w="113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江西省地理学会常务理事，江西省历史文化研究会理事，江西省生态学会理事，江西省生态经济学会理事</w:t>
            </w:r>
          </w:p>
        </w:tc>
        <w:tc>
          <w:tcPr>
            <w:tcW w:w="2028" w:type="dxa"/>
            <w:gridSpan w:val="4"/>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主持完成国家自然科学基金项目1项，完成或在研省部级科研项目10项。出版专著2部；科研论文SCI收录10篇，中文核心期刊论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2</w:t>
            </w:r>
          </w:p>
        </w:tc>
        <w:tc>
          <w:tcPr>
            <w:tcW w:w="61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叶张煌</w:t>
            </w:r>
          </w:p>
        </w:tc>
        <w:tc>
          <w:tcPr>
            <w:tcW w:w="45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default"/>
                <w:sz w:val="15"/>
                <w:szCs w:val="15"/>
              </w:rPr>
              <w:t>50</w:t>
            </w:r>
          </w:p>
        </w:tc>
        <w:tc>
          <w:tcPr>
            <w:tcW w:w="73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正高级</w:t>
            </w:r>
          </w:p>
        </w:tc>
        <w:tc>
          <w:tcPr>
            <w:tcW w:w="60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硕导</w:t>
            </w:r>
          </w:p>
        </w:tc>
        <w:tc>
          <w:tcPr>
            <w:tcW w:w="768"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博士</w:t>
            </w:r>
          </w:p>
        </w:tc>
        <w:tc>
          <w:tcPr>
            <w:tcW w:w="696" w:type="dxa"/>
            <w:vAlign w:val="center"/>
          </w:tcPr>
          <w:p>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sz w:val="15"/>
                <w:szCs w:val="15"/>
              </w:rPr>
            </w:pPr>
            <w:r>
              <w:rPr>
                <w:rFonts w:hint="default" w:cstheme="minorBidi"/>
                <w:sz w:val="15"/>
                <w:szCs w:val="15"/>
              </w:rPr>
              <w:t>10</w:t>
            </w:r>
          </w:p>
        </w:tc>
        <w:tc>
          <w:tcPr>
            <w:tcW w:w="79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451</w:t>
            </w:r>
          </w:p>
        </w:tc>
        <w:tc>
          <w:tcPr>
            <w:tcW w:w="85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旅游地学、研学旅行、地质公园、科普教育</w:t>
            </w:r>
          </w:p>
        </w:tc>
        <w:tc>
          <w:tcPr>
            <w:tcW w:w="599"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是</w:t>
            </w:r>
          </w:p>
        </w:tc>
        <w:tc>
          <w:tcPr>
            <w:tcW w:w="113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研学旅游研究会理事</w:t>
            </w:r>
          </w:p>
        </w:tc>
        <w:tc>
          <w:tcPr>
            <w:tcW w:w="2028" w:type="dxa"/>
            <w:gridSpan w:val="4"/>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国家公派墨尔本大学访学学者。发表SCI3篇，EI1篇,CSCD4篇，出版学术著作2部。主持国家自然科学基金1项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3</w:t>
            </w:r>
          </w:p>
        </w:tc>
        <w:tc>
          <w:tcPr>
            <w:tcW w:w="61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李志强</w:t>
            </w:r>
          </w:p>
        </w:tc>
        <w:tc>
          <w:tcPr>
            <w:tcW w:w="45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default"/>
                <w:sz w:val="15"/>
                <w:szCs w:val="15"/>
              </w:rPr>
              <w:t>44</w:t>
            </w:r>
          </w:p>
        </w:tc>
        <w:tc>
          <w:tcPr>
            <w:tcW w:w="73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正高级</w:t>
            </w:r>
          </w:p>
        </w:tc>
        <w:tc>
          <w:tcPr>
            <w:tcW w:w="600"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硕导</w:t>
            </w:r>
          </w:p>
        </w:tc>
        <w:tc>
          <w:tcPr>
            <w:tcW w:w="768"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博士</w:t>
            </w:r>
          </w:p>
        </w:tc>
        <w:tc>
          <w:tcPr>
            <w:tcW w:w="696" w:type="dxa"/>
            <w:vAlign w:val="center"/>
          </w:tcPr>
          <w:p>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sz w:val="15"/>
                <w:szCs w:val="15"/>
              </w:rPr>
            </w:pPr>
            <w:r>
              <w:rPr>
                <w:rFonts w:hint="default" w:cstheme="minorBidi"/>
                <w:sz w:val="15"/>
                <w:szCs w:val="15"/>
              </w:rPr>
              <w:t>9</w:t>
            </w:r>
          </w:p>
        </w:tc>
        <w:tc>
          <w:tcPr>
            <w:tcW w:w="79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274</w:t>
            </w:r>
          </w:p>
        </w:tc>
        <w:tc>
          <w:tcPr>
            <w:tcW w:w="85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旅游管理</w:t>
            </w:r>
          </w:p>
        </w:tc>
        <w:tc>
          <w:tcPr>
            <w:tcW w:w="599"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是</w:t>
            </w:r>
          </w:p>
        </w:tc>
        <w:tc>
          <w:tcPr>
            <w:tcW w:w="113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江西省标准化专家库成员，江西研学旅游研究会副秘书长</w:t>
            </w:r>
          </w:p>
        </w:tc>
        <w:tc>
          <w:tcPr>
            <w:tcW w:w="2028" w:type="dxa"/>
            <w:gridSpan w:val="4"/>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江西省标准化专家库成员，江西研学旅游研究会副秘书长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355"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4</w:t>
            </w:r>
          </w:p>
        </w:tc>
        <w:tc>
          <w:tcPr>
            <w:tcW w:w="61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刘传喜</w:t>
            </w:r>
          </w:p>
        </w:tc>
        <w:tc>
          <w:tcPr>
            <w:tcW w:w="45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4</w:t>
            </w:r>
            <w:r>
              <w:rPr>
                <w:rFonts w:hint="default"/>
                <w:sz w:val="15"/>
                <w:szCs w:val="15"/>
              </w:rPr>
              <w:t>3</w:t>
            </w:r>
          </w:p>
        </w:tc>
        <w:tc>
          <w:tcPr>
            <w:tcW w:w="732"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副高级</w:t>
            </w:r>
          </w:p>
        </w:tc>
        <w:tc>
          <w:tcPr>
            <w:tcW w:w="600"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硕导</w:t>
            </w:r>
          </w:p>
        </w:tc>
        <w:tc>
          <w:tcPr>
            <w:tcW w:w="768"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博士</w:t>
            </w:r>
          </w:p>
        </w:tc>
        <w:tc>
          <w:tcPr>
            <w:tcW w:w="696" w:type="dxa"/>
            <w:vAlign w:val="center"/>
          </w:tcPr>
          <w:p>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sz w:val="15"/>
                <w:szCs w:val="15"/>
              </w:rPr>
            </w:pPr>
            <w:r>
              <w:rPr>
                <w:rFonts w:hint="default" w:cstheme="minorBidi"/>
                <w:sz w:val="15"/>
                <w:szCs w:val="15"/>
              </w:rPr>
              <w:t>6</w:t>
            </w:r>
          </w:p>
        </w:tc>
        <w:tc>
          <w:tcPr>
            <w:tcW w:w="790"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413</w:t>
            </w:r>
          </w:p>
        </w:tc>
        <w:tc>
          <w:tcPr>
            <w:tcW w:w="857"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旅游规划与开发</w:t>
            </w:r>
          </w:p>
        </w:tc>
        <w:tc>
          <w:tcPr>
            <w:tcW w:w="599"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是</w:t>
            </w:r>
          </w:p>
        </w:tc>
        <w:tc>
          <w:tcPr>
            <w:tcW w:w="1136" w:type="dxa"/>
            <w:vAlign w:val="center"/>
          </w:tcPr>
          <w:p>
            <w:pPr>
              <w:keepNext w:val="0"/>
              <w:keepLines w:val="0"/>
              <w:widowControl/>
              <w:suppressLineNumbers w:val="0"/>
              <w:spacing w:before="0" w:beforeAutospacing="0" w:after="0" w:afterAutospacing="0"/>
              <w:ind w:left="0" w:right="0"/>
              <w:jc w:val="center"/>
              <w:rPr>
                <w:rFonts w:hint="default" w:eastAsiaTheme="minorEastAsia"/>
                <w:sz w:val="15"/>
                <w:szCs w:val="15"/>
              </w:rPr>
            </w:pPr>
            <w:r>
              <w:rPr>
                <w:rFonts w:hint="eastAsia"/>
                <w:sz w:val="15"/>
                <w:szCs w:val="15"/>
              </w:rPr>
              <w:t>江西研学旅游研究会会员</w:t>
            </w:r>
          </w:p>
        </w:tc>
        <w:tc>
          <w:tcPr>
            <w:tcW w:w="2028" w:type="dxa"/>
            <w:gridSpan w:val="4"/>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发表CSSCI 期刊论文2篇、CSCD期刊论文1篇:出版学术著作2部；主持国家旅游局“万名旅游英才计划”项目1项</w:t>
            </w:r>
          </w:p>
        </w:tc>
      </w:tr>
    </w:tbl>
    <w:p>
      <w:pPr>
        <w:widowControl/>
        <w:spacing w:line="560" w:lineRule="exact"/>
        <w:ind w:firstLine="643" w:firstLineChars="200"/>
        <w:textAlignment w:val="baseline"/>
        <w:rPr>
          <w:rStyle w:val="26"/>
          <w:rFonts w:ascii="仿宋_GB2312" w:hAnsi="黑体" w:eastAsia="仿宋_GB2312" w:cs="黑体"/>
          <w:b/>
          <w:sz w:val="32"/>
          <w:szCs w:val="32"/>
        </w:rPr>
      </w:pPr>
      <w:r>
        <w:rPr>
          <w:rStyle w:val="26"/>
          <w:rFonts w:hint="eastAsia" w:ascii="仿宋_GB2312" w:hAnsi="黑体" w:eastAsia="仿宋_GB2312" w:cs="黑体"/>
          <w:b/>
          <w:sz w:val="32"/>
          <w:szCs w:val="32"/>
        </w:rPr>
        <w:t>（三）科学研究</w:t>
      </w:r>
    </w:p>
    <w:p>
      <w:pPr>
        <w:pStyle w:val="30"/>
        <w:snapToGrid w:val="0"/>
        <w:spacing w:line="360" w:lineRule="auto"/>
        <w:ind w:firstLine="560"/>
        <w:rPr>
          <w:rStyle w:val="26"/>
          <w:rFonts w:ascii="仿宋_GB2312" w:hAnsi="黑体" w:eastAsia="仿宋_GB2312" w:cs="黑体"/>
          <w:bCs/>
          <w:sz w:val="28"/>
          <w:szCs w:val="28"/>
        </w:rPr>
      </w:pPr>
      <w:r>
        <w:rPr>
          <w:rStyle w:val="26"/>
          <w:rFonts w:ascii="仿宋_GB2312" w:hAnsi="黑体" w:eastAsia="仿宋_GB2312" w:cs="黑体"/>
          <w:bCs/>
          <w:sz w:val="28"/>
          <w:szCs w:val="28"/>
        </w:rPr>
        <w:t xml:space="preserve"> </w:t>
      </w:r>
      <w:r>
        <w:rPr>
          <w:rStyle w:val="26"/>
          <w:rFonts w:hint="eastAsia" w:ascii="仿宋_GB2312" w:hAnsi="黑体" w:eastAsia="仿宋_GB2312" w:cs="黑体"/>
          <w:bCs/>
          <w:sz w:val="28"/>
          <w:szCs w:val="28"/>
        </w:rPr>
        <w:t>202</w:t>
      </w:r>
      <w:r>
        <w:rPr>
          <w:rStyle w:val="26"/>
          <w:rFonts w:ascii="仿宋_GB2312" w:hAnsi="黑体" w:eastAsia="仿宋_GB2312" w:cs="黑体"/>
          <w:bCs/>
          <w:sz w:val="28"/>
          <w:szCs w:val="28"/>
        </w:rPr>
        <w:t>3</w:t>
      </w:r>
      <w:r>
        <w:rPr>
          <w:rStyle w:val="26"/>
          <w:rFonts w:hint="eastAsia" w:ascii="仿宋_GB2312" w:hAnsi="黑体" w:eastAsia="仿宋_GB2312" w:cs="黑体"/>
          <w:bCs/>
          <w:sz w:val="28"/>
          <w:szCs w:val="28"/>
        </w:rPr>
        <w:t>年，本学科点纵向课题1</w:t>
      </w:r>
      <w:r>
        <w:rPr>
          <w:rStyle w:val="26"/>
          <w:rFonts w:ascii="仿宋_GB2312" w:hAnsi="黑体" w:eastAsia="仿宋_GB2312" w:cs="黑体"/>
          <w:bCs/>
          <w:sz w:val="28"/>
          <w:szCs w:val="28"/>
        </w:rPr>
        <w:t>5项，经费51.05万元；</w:t>
      </w:r>
      <w:r>
        <w:rPr>
          <w:rStyle w:val="26"/>
          <w:rFonts w:hint="eastAsia" w:ascii="仿宋_GB2312" w:hAnsi="黑体" w:eastAsia="仿宋_GB2312" w:cs="黑体"/>
          <w:bCs/>
          <w:sz w:val="28"/>
          <w:szCs w:val="28"/>
        </w:rPr>
        <w:t xml:space="preserve"> 横向项目</w:t>
      </w:r>
      <w:r>
        <w:rPr>
          <w:rStyle w:val="26"/>
          <w:rFonts w:ascii="仿宋_GB2312" w:hAnsi="黑体" w:eastAsia="仿宋_GB2312" w:cs="黑体"/>
          <w:bCs/>
          <w:sz w:val="28"/>
          <w:szCs w:val="28"/>
        </w:rPr>
        <w:t>8</w:t>
      </w:r>
      <w:r>
        <w:rPr>
          <w:rStyle w:val="26"/>
          <w:rFonts w:hint="eastAsia" w:ascii="仿宋_GB2312" w:hAnsi="黑体" w:eastAsia="仿宋_GB2312" w:cs="黑体"/>
          <w:bCs/>
          <w:sz w:val="28"/>
          <w:szCs w:val="28"/>
        </w:rPr>
        <w:t>项，经费</w:t>
      </w:r>
      <w:r>
        <w:rPr>
          <w:rStyle w:val="26"/>
          <w:rFonts w:ascii="仿宋_GB2312" w:hAnsi="黑体" w:eastAsia="仿宋_GB2312" w:cs="黑体"/>
          <w:bCs/>
          <w:sz w:val="28"/>
          <w:szCs w:val="28"/>
        </w:rPr>
        <w:t>201.9</w:t>
      </w:r>
      <w:r>
        <w:rPr>
          <w:rStyle w:val="26"/>
          <w:rFonts w:hint="eastAsia" w:ascii="仿宋_GB2312" w:hAnsi="黑体" w:eastAsia="仿宋_GB2312" w:cs="黑体"/>
          <w:bCs/>
          <w:sz w:val="28"/>
          <w:szCs w:val="28"/>
        </w:rPr>
        <w:t>万元。（代表性科研项目见表7）</w:t>
      </w:r>
    </w:p>
    <w:p>
      <w:pPr>
        <w:pStyle w:val="30"/>
        <w:snapToGrid w:val="0"/>
        <w:spacing w:line="360" w:lineRule="auto"/>
        <w:ind w:firstLine="0" w:firstLineChars="0"/>
        <w:jc w:val="center"/>
      </w:pPr>
      <w:r>
        <w:rPr>
          <w:rStyle w:val="26"/>
          <w:rFonts w:hint="eastAsia" w:ascii="仿宋_GB2312" w:hAnsi="方正仿宋简体" w:eastAsia="仿宋_GB2312" w:cs="方正仿宋简体"/>
          <w:b/>
          <w:bCs/>
          <w:sz w:val="22"/>
          <w:szCs w:val="30"/>
        </w:rPr>
        <w:t xml:space="preserve">表7 </w:t>
      </w:r>
      <w:r>
        <w:rPr>
          <w:rStyle w:val="26"/>
          <w:rFonts w:hint="eastAsia" w:ascii="仿宋_GB2312" w:hAnsi="方正仿宋简体" w:eastAsia="仿宋_GB2312" w:cs="方正仿宋简体"/>
          <w:b/>
          <w:bCs/>
          <w:color w:val="FF0000"/>
          <w:sz w:val="22"/>
          <w:szCs w:val="30"/>
        </w:rPr>
        <w:t xml:space="preserve"> </w:t>
      </w:r>
      <w:r>
        <w:rPr>
          <w:rStyle w:val="26"/>
          <w:rFonts w:hint="eastAsia" w:ascii="仿宋_GB2312" w:hAnsi="方正仿宋简体" w:eastAsia="仿宋_GB2312" w:cs="方正仿宋简体"/>
          <w:b/>
          <w:bCs/>
          <w:sz w:val="22"/>
          <w:szCs w:val="30"/>
        </w:rPr>
        <w:t>202</w:t>
      </w:r>
      <w:r>
        <w:rPr>
          <w:rStyle w:val="26"/>
          <w:rFonts w:ascii="仿宋_GB2312" w:hAnsi="方正仿宋简体" w:eastAsia="仿宋_GB2312" w:cs="方正仿宋简体"/>
          <w:b/>
          <w:bCs/>
          <w:sz w:val="22"/>
          <w:szCs w:val="30"/>
        </w:rPr>
        <w:t>3</w:t>
      </w:r>
      <w:r>
        <w:rPr>
          <w:rStyle w:val="26"/>
          <w:rFonts w:hint="eastAsia" w:ascii="仿宋_GB2312" w:hAnsi="方正仿宋简体" w:eastAsia="仿宋_GB2312" w:cs="方正仿宋简体"/>
          <w:b/>
          <w:bCs/>
          <w:sz w:val="22"/>
          <w:szCs w:val="30"/>
        </w:rPr>
        <w:t>年度承担的代表性科研项目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373"/>
        <w:gridCol w:w="1127"/>
        <w:gridCol w:w="2136"/>
        <w:gridCol w:w="1059"/>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30"/>
              <w:keepNext w:val="0"/>
              <w:keepLines w:val="0"/>
              <w:suppressLineNumbers w:val="0"/>
              <w:snapToGrid w:val="0"/>
              <w:spacing w:before="0" w:beforeAutospacing="0" w:after="0" w:afterAutospacing="0" w:line="360" w:lineRule="auto"/>
              <w:ind w:left="0" w:right="0" w:firstLine="0" w:firstLineChars="0"/>
              <w:jc w:val="center"/>
              <w:rPr>
                <w:rFonts w:hint="default" w:ascii="宋体" w:hAnsi="宋体" w:eastAsia="宋体" w:cs="宋体"/>
                <w:sz w:val="24"/>
              </w:rPr>
            </w:pPr>
            <w:r>
              <w:rPr>
                <w:rFonts w:hint="eastAsia" w:ascii="宋体" w:hAnsi="宋体" w:eastAsia="宋体" w:cs="宋体"/>
                <w:sz w:val="24"/>
              </w:rPr>
              <w:t>序号</w:t>
            </w:r>
          </w:p>
        </w:tc>
        <w:tc>
          <w:tcPr>
            <w:tcW w:w="2428" w:type="dxa"/>
            <w:vAlign w:val="center"/>
          </w:tcPr>
          <w:p>
            <w:pPr>
              <w:pStyle w:val="30"/>
              <w:keepNext w:val="0"/>
              <w:keepLines w:val="0"/>
              <w:suppressLineNumbers w:val="0"/>
              <w:snapToGrid w:val="0"/>
              <w:spacing w:before="0" w:beforeAutospacing="0" w:after="0" w:afterAutospacing="0" w:line="360" w:lineRule="auto"/>
              <w:ind w:left="0" w:right="0" w:firstLine="0" w:firstLineChars="0"/>
              <w:jc w:val="center"/>
              <w:rPr>
                <w:rFonts w:hint="default" w:ascii="宋体" w:hAnsi="宋体" w:eastAsia="宋体" w:cs="宋体"/>
                <w:sz w:val="24"/>
              </w:rPr>
            </w:pPr>
            <w:r>
              <w:rPr>
                <w:rFonts w:hint="eastAsia" w:ascii="宋体" w:hAnsi="宋体" w:eastAsia="宋体" w:cs="宋体"/>
                <w:sz w:val="24"/>
              </w:rPr>
              <w:t>项目、课题名称（下达编号）</w:t>
            </w:r>
          </w:p>
        </w:tc>
        <w:tc>
          <w:tcPr>
            <w:tcW w:w="1177" w:type="dxa"/>
            <w:vAlign w:val="center"/>
          </w:tcPr>
          <w:p>
            <w:pPr>
              <w:pStyle w:val="30"/>
              <w:keepNext w:val="0"/>
              <w:keepLines w:val="0"/>
              <w:suppressLineNumbers w:val="0"/>
              <w:snapToGrid w:val="0"/>
              <w:spacing w:before="0" w:beforeAutospacing="0" w:after="0" w:afterAutospacing="0" w:line="360" w:lineRule="auto"/>
              <w:ind w:left="0" w:right="0" w:firstLine="0" w:firstLineChars="0"/>
              <w:jc w:val="center"/>
              <w:rPr>
                <w:rFonts w:hint="default" w:ascii="宋体" w:hAnsi="宋体" w:eastAsia="宋体" w:cs="宋体"/>
                <w:sz w:val="24"/>
              </w:rPr>
            </w:pPr>
            <w:r>
              <w:rPr>
                <w:rFonts w:hint="eastAsia" w:ascii="宋体" w:hAnsi="宋体" w:eastAsia="宋体" w:cs="宋体"/>
                <w:sz w:val="24"/>
              </w:rPr>
              <w:t>来源</w:t>
            </w:r>
          </w:p>
        </w:tc>
        <w:tc>
          <w:tcPr>
            <w:tcW w:w="1656" w:type="dxa"/>
            <w:vAlign w:val="center"/>
          </w:tcPr>
          <w:p>
            <w:pPr>
              <w:pStyle w:val="30"/>
              <w:keepNext w:val="0"/>
              <w:keepLines w:val="0"/>
              <w:suppressLineNumbers w:val="0"/>
              <w:snapToGrid w:val="0"/>
              <w:spacing w:before="0" w:beforeAutospacing="0" w:after="0" w:afterAutospacing="0" w:line="360" w:lineRule="auto"/>
              <w:ind w:left="0" w:right="0" w:firstLine="0" w:firstLineChars="0"/>
              <w:jc w:val="center"/>
              <w:rPr>
                <w:rFonts w:hint="default" w:ascii="宋体" w:hAnsi="宋体" w:eastAsia="宋体" w:cs="宋体"/>
                <w:sz w:val="24"/>
              </w:rPr>
            </w:pPr>
            <w:r>
              <w:rPr>
                <w:rFonts w:hint="eastAsia" w:ascii="宋体" w:hAnsi="宋体" w:eastAsia="宋体" w:cs="宋体"/>
                <w:sz w:val="24"/>
              </w:rPr>
              <w:t>起讫时间</w:t>
            </w:r>
          </w:p>
        </w:tc>
        <w:tc>
          <w:tcPr>
            <w:tcW w:w="1129" w:type="dxa"/>
            <w:tcBorders>
              <w:right w:val="single" w:color="auto" w:sz="4" w:space="0"/>
            </w:tcBorders>
            <w:vAlign w:val="center"/>
          </w:tcPr>
          <w:p>
            <w:pPr>
              <w:pStyle w:val="30"/>
              <w:keepNext w:val="0"/>
              <w:keepLines w:val="0"/>
              <w:suppressLineNumbers w:val="0"/>
              <w:snapToGrid w:val="0"/>
              <w:spacing w:before="0" w:beforeAutospacing="0" w:after="0" w:afterAutospacing="0" w:line="360" w:lineRule="auto"/>
              <w:ind w:left="0" w:right="0" w:firstLine="0" w:firstLineChars="0"/>
              <w:jc w:val="center"/>
              <w:rPr>
                <w:rFonts w:hint="default" w:ascii="宋体" w:hAnsi="宋体" w:eastAsia="宋体" w:cs="宋体"/>
                <w:sz w:val="24"/>
              </w:rPr>
            </w:pPr>
            <w:r>
              <w:rPr>
                <w:rFonts w:hint="eastAsia" w:ascii="宋体" w:hAnsi="宋体" w:eastAsia="宋体" w:cs="宋体"/>
                <w:sz w:val="24"/>
              </w:rPr>
              <w:t>承担人</w:t>
            </w:r>
          </w:p>
        </w:tc>
        <w:tc>
          <w:tcPr>
            <w:tcW w:w="1177" w:type="dxa"/>
            <w:tcBorders>
              <w:left w:val="single" w:color="auto" w:sz="4" w:space="0"/>
            </w:tcBorders>
            <w:vAlign w:val="center"/>
          </w:tcPr>
          <w:p>
            <w:pPr>
              <w:pStyle w:val="30"/>
              <w:keepNext w:val="0"/>
              <w:keepLines w:val="0"/>
              <w:suppressLineNumbers w:val="0"/>
              <w:snapToGrid w:val="0"/>
              <w:spacing w:before="0" w:beforeAutospacing="0" w:after="0" w:afterAutospacing="0" w:line="360" w:lineRule="auto"/>
              <w:ind w:left="0" w:right="0" w:firstLine="0" w:firstLineChars="0"/>
              <w:jc w:val="center"/>
              <w:rPr>
                <w:rFonts w:hint="default" w:ascii="宋体" w:hAnsi="宋体" w:eastAsia="宋体" w:cs="宋体"/>
                <w:sz w:val="24"/>
              </w:rPr>
            </w:pPr>
            <w:r>
              <w:rPr>
                <w:rFonts w:hint="eastAsia" w:ascii="宋体" w:hAnsi="宋体" w:eastAsia="宋体" w:cs="宋体"/>
                <w:sz w:val="24"/>
              </w:rPr>
              <w:t>到账经费（万元）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0"/>
              <w:keepNext w:val="0"/>
              <w:keepLines w:val="0"/>
              <w:suppressLineNumbers w:val="0"/>
              <w:snapToGrid w:val="0"/>
              <w:spacing w:before="0" w:beforeAutospacing="0" w:after="0" w:afterAutospacing="0" w:line="360" w:lineRule="auto"/>
              <w:ind w:left="0" w:right="0" w:firstLine="0" w:firstLineChars="0"/>
              <w:rPr>
                <w:rStyle w:val="26"/>
                <w:rFonts w:hint="default" w:ascii="仿宋_GB2312" w:hAnsi="黑体" w:eastAsia="仿宋_GB2312" w:cs="黑体"/>
                <w:bCs/>
                <w:sz w:val="28"/>
                <w:szCs w:val="28"/>
              </w:rPr>
            </w:pPr>
            <w:r>
              <w:rPr>
                <w:rStyle w:val="26"/>
                <w:rFonts w:hint="eastAsia" w:ascii="仿宋_GB2312" w:hAnsi="黑体" w:eastAsia="仿宋_GB2312" w:cs="黑体"/>
                <w:bCs/>
              </w:rPr>
              <w:t>1</w:t>
            </w:r>
          </w:p>
        </w:tc>
        <w:tc>
          <w:tcPr>
            <w:tcW w:w="2428" w:type="dxa"/>
            <w:vAlign w:val="center"/>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中国情境下导师支持行为对徒弟职业韧性的双刃剑效应——基于资源保存-资源依赖的权变视角（项目号：</w:t>
            </w:r>
            <w:r>
              <w:rPr>
                <w:rStyle w:val="26"/>
                <w:rFonts w:hint="default" w:ascii="仿宋_GB2312" w:hAnsi="黑体" w:eastAsia="仿宋_GB2312" w:cs="黑体"/>
                <w:bCs/>
              </w:rPr>
              <w:t>72262020</w:t>
            </w:r>
            <w:r>
              <w:rPr>
                <w:rStyle w:val="26"/>
                <w:rFonts w:hint="eastAsia" w:ascii="仿宋_GB2312" w:hAnsi="黑体" w:eastAsia="仿宋_GB2312" w:cs="黑体"/>
                <w:bCs/>
              </w:rPr>
              <w:t>）</w:t>
            </w:r>
          </w:p>
        </w:tc>
        <w:tc>
          <w:tcPr>
            <w:tcW w:w="1177" w:type="dxa"/>
            <w:vAlign w:val="center"/>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国家自然科学基金</w:t>
            </w:r>
          </w:p>
        </w:tc>
        <w:tc>
          <w:tcPr>
            <w:tcW w:w="1656" w:type="dxa"/>
            <w:vAlign w:val="center"/>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default" w:ascii="仿宋_GB2312" w:hAnsi="黑体" w:eastAsia="仿宋_GB2312" w:cs="黑体"/>
                <w:bCs/>
              </w:rPr>
              <w:t>2023/01-2026/12</w:t>
            </w:r>
          </w:p>
        </w:tc>
        <w:tc>
          <w:tcPr>
            <w:tcW w:w="1129" w:type="dxa"/>
            <w:tcBorders>
              <w:right w:val="single" w:color="auto" w:sz="4" w:space="0"/>
            </w:tcBorders>
            <w:vAlign w:val="center"/>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曾颢</w:t>
            </w:r>
          </w:p>
        </w:tc>
        <w:tc>
          <w:tcPr>
            <w:tcW w:w="1177" w:type="dxa"/>
            <w:tcBorders>
              <w:left w:val="single" w:color="auto" w:sz="4" w:space="0"/>
            </w:tcBorders>
            <w:vAlign w:val="center"/>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2</w:t>
            </w:r>
            <w:r>
              <w:rPr>
                <w:rStyle w:val="26"/>
                <w:rFonts w:hint="default" w:ascii="仿宋_GB2312" w:hAnsi="黑体" w:eastAsia="仿宋_GB2312" w:cs="黑体"/>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0"/>
              <w:keepNext w:val="0"/>
              <w:keepLines w:val="0"/>
              <w:suppressLineNumbers w:val="0"/>
              <w:snapToGrid w:val="0"/>
              <w:spacing w:before="0" w:beforeAutospacing="0" w:after="0" w:afterAutospacing="0" w:line="360" w:lineRule="auto"/>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2</w:t>
            </w:r>
          </w:p>
        </w:tc>
        <w:tc>
          <w:tcPr>
            <w:tcW w:w="2428"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乡村振兴视域下‘江西篁岭模式’乡村旅游发展的理论价值和实践意义</w:t>
            </w:r>
          </w:p>
        </w:tc>
        <w:tc>
          <w:tcPr>
            <w:tcW w:w="1177"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default" w:ascii="仿宋_GB2312" w:hAnsi="黑体" w:eastAsia="仿宋_GB2312" w:cs="黑体"/>
                <w:bCs/>
              </w:rPr>
              <w:t>2022年文化和旅游部部级社科研究</w:t>
            </w:r>
            <w:r>
              <w:rPr>
                <w:rStyle w:val="26"/>
                <w:rFonts w:hint="eastAsia" w:ascii="仿宋_GB2312" w:hAnsi="黑体" w:eastAsia="仿宋_GB2312" w:cs="黑体"/>
                <w:bCs/>
              </w:rPr>
              <w:t>项目</w:t>
            </w:r>
          </w:p>
        </w:tc>
        <w:tc>
          <w:tcPr>
            <w:tcW w:w="1656"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2022-2023</w:t>
            </w:r>
          </w:p>
        </w:tc>
        <w:tc>
          <w:tcPr>
            <w:tcW w:w="1129" w:type="dxa"/>
            <w:tcBorders>
              <w:righ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谢冬明</w:t>
            </w:r>
          </w:p>
        </w:tc>
        <w:tc>
          <w:tcPr>
            <w:tcW w:w="1177" w:type="dxa"/>
            <w:tcBorders>
              <w:lef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0"/>
              <w:keepNext w:val="0"/>
              <w:keepLines w:val="0"/>
              <w:suppressLineNumbers w:val="0"/>
              <w:snapToGrid w:val="0"/>
              <w:spacing w:before="0" w:beforeAutospacing="0" w:after="0" w:afterAutospacing="0" w:line="360" w:lineRule="auto"/>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3</w:t>
            </w:r>
          </w:p>
        </w:tc>
        <w:tc>
          <w:tcPr>
            <w:tcW w:w="2428"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基于消费行为演变的全域旅游供给体系优化研究</w:t>
            </w:r>
          </w:p>
        </w:tc>
        <w:tc>
          <w:tcPr>
            <w:tcW w:w="1177"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江西省社会科学基金项目</w:t>
            </w:r>
          </w:p>
        </w:tc>
        <w:tc>
          <w:tcPr>
            <w:tcW w:w="1656"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2021-2023</w:t>
            </w:r>
          </w:p>
        </w:tc>
        <w:tc>
          <w:tcPr>
            <w:tcW w:w="1129" w:type="dxa"/>
            <w:tcBorders>
              <w:righ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彭燕</w:t>
            </w:r>
          </w:p>
        </w:tc>
        <w:tc>
          <w:tcPr>
            <w:tcW w:w="1177" w:type="dxa"/>
            <w:tcBorders>
              <w:lef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0"/>
              <w:keepNext w:val="0"/>
              <w:keepLines w:val="0"/>
              <w:suppressLineNumbers w:val="0"/>
              <w:snapToGrid w:val="0"/>
              <w:spacing w:before="0" w:beforeAutospacing="0" w:after="0" w:afterAutospacing="0" w:line="360" w:lineRule="auto"/>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4</w:t>
            </w:r>
          </w:p>
        </w:tc>
        <w:tc>
          <w:tcPr>
            <w:tcW w:w="2428"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我国高职人才培养政策变迁特点及内在逻辑研究—基于1978―2020年高职政策文本分析</w:t>
            </w:r>
          </w:p>
        </w:tc>
        <w:tc>
          <w:tcPr>
            <w:tcW w:w="1177"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江西省教育科学“十四五”规划2022年度课题</w:t>
            </w:r>
          </w:p>
        </w:tc>
        <w:tc>
          <w:tcPr>
            <w:tcW w:w="1656"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2022-2024</w:t>
            </w:r>
          </w:p>
        </w:tc>
        <w:tc>
          <w:tcPr>
            <w:tcW w:w="1129" w:type="dxa"/>
            <w:tcBorders>
              <w:righ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周丹敏</w:t>
            </w:r>
          </w:p>
        </w:tc>
        <w:tc>
          <w:tcPr>
            <w:tcW w:w="1177" w:type="dxa"/>
            <w:tcBorders>
              <w:lef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0"/>
              <w:keepNext w:val="0"/>
              <w:keepLines w:val="0"/>
              <w:suppressLineNumbers w:val="0"/>
              <w:snapToGrid w:val="0"/>
              <w:spacing w:before="0" w:beforeAutospacing="0" w:after="0" w:afterAutospacing="0" w:line="360" w:lineRule="auto"/>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5</w:t>
            </w:r>
          </w:p>
        </w:tc>
        <w:tc>
          <w:tcPr>
            <w:tcW w:w="2428"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众创空间视阈下江西乡村旅游创新系统演化机理与创新能力培育研究（项目编号：</w:t>
            </w:r>
            <w:r>
              <w:rPr>
                <w:rStyle w:val="26"/>
                <w:rFonts w:hint="default" w:ascii="仿宋_GB2312" w:hAnsi="黑体" w:eastAsia="仿宋_GB2312" w:cs="黑体"/>
                <w:bCs/>
              </w:rPr>
              <w:t>22GL24</w:t>
            </w:r>
            <w:r>
              <w:rPr>
                <w:rStyle w:val="26"/>
                <w:rFonts w:hint="eastAsia" w:ascii="仿宋_GB2312" w:hAnsi="黑体" w:eastAsia="仿宋_GB2312" w:cs="黑体"/>
                <w:bCs/>
              </w:rPr>
              <w:t>）</w:t>
            </w:r>
          </w:p>
        </w:tc>
        <w:tc>
          <w:tcPr>
            <w:tcW w:w="1177"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江西省社会科学规划办公室</w:t>
            </w:r>
          </w:p>
        </w:tc>
        <w:tc>
          <w:tcPr>
            <w:tcW w:w="1656"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2022-2024</w:t>
            </w:r>
          </w:p>
        </w:tc>
        <w:tc>
          <w:tcPr>
            <w:tcW w:w="1129" w:type="dxa"/>
            <w:tcBorders>
              <w:righ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刘传喜</w:t>
            </w:r>
          </w:p>
        </w:tc>
        <w:tc>
          <w:tcPr>
            <w:tcW w:w="1177" w:type="dxa"/>
            <w:tcBorders>
              <w:lef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0"/>
              <w:keepNext w:val="0"/>
              <w:keepLines w:val="0"/>
              <w:suppressLineNumbers w:val="0"/>
              <w:snapToGrid w:val="0"/>
              <w:spacing w:before="0" w:beforeAutospacing="0" w:after="0" w:afterAutospacing="0" w:line="360" w:lineRule="auto"/>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6</w:t>
            </w:r>
          </w:p>
        </w:tc>
        <w:tc>
          <w:tcPr>
            <w:tcW w:w="2428"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“双碳”目标下江西制造业员工绿色行为驱动机制及干预策略研究（项目号</w:t>
            </w:r>
            <w:r>
              <w:rPr>
                <w:rStyle w:val="26"/>
                <w:rFonts w:hint="default" w:ascii="仿宋_GB2312" w:hAnsi="黑体" w:eastAsia="仿宋_GB2312" w:cs="黑体"/>
                <w:bCs/>
              </w:rPr>
              <w:t>JD22021</w:t>
            </w:r>
            <w:r>
              <w:rPr>
                <w:rStyle w:val="26"/>
                <w:rFonts w:hint="eastAsia" w:ascii="仿宋_GB2312" w:hAnsi="黑体" w:eastAsia="仿宋_GB2312" w:cs="黑体"/>
                <w:bCs/>
              </w:rPr>
              <w:t>）</w:t>
            </w:r>
          </w:p>
        </w:tc>
        <w:tc>
          <w:tcPr>
            <w:tcW w:w="1177"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江西省高校人文社会科学重点研究基地项目</w:t>
            </w:r>
          </w:p>
        </w:tc>
        <w:tc>
          <w:tcPr>
            <w:tcW w:w="1656"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default" w:ascii="仿宋_GB2312" w:hAnsi="黑体" w:eastAsia="仿宋_GB2312" w:cs="黑体"/>
                <w:bCs/>
              </w:rPr>
              <w:t>2023/01-2024/12</w:t>
            </w:r>
          </w:p>
        </w:tc>
        <w:tc>
          <w:tcPr>
            <w:tcW w:w="1129" w:type="dxa"/>
            <w:tcBorders>
              <w:righ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曾颢</w:t>
            </w:r>
          </w:p>
        </w:tc>
        <w:tc>
          <w:tcPr>
            <w:tcW w:w="1177" w:type="dxa"/>
            <w:tcBorders>
              <w:lef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0</w:t>
            </w:r>
            <w:r>
              <w:rPr>
                <w:rStyle w:val="26"/>
                <w:rFonts w:hint="default" w:ascii="仿宋_GB2312" w:hAnsi="黑体" w:eastAsia="仿宋_GB2312" w:cs="黑体"/>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0"/>
              <w:keepNext w:val="0"/>
              <w:keepLines w:val="0"/>
              <w:suppressLineNumbers w:val="0"/>
              <w:snapToGrid w:val="0"/>
              <w:spacing w:before="0" w:beforeAutospacing="0" w:after="0" w:afterAutospacing="0" w:line="360" w:lineRule="auto"/>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7</w:t>
            </w:r>
          </w:p>
        </w:tc>
        <w:tc>
          <w:tcPr>
            <w:tcW w:w="2428"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社会化学习视角下高校生政治技能发展的叙事探究（2</w:t>
            </w:r>
            <w:r>
              <w:rPr>
                <w:rStyle w:val="26"/>
                <w:rFonts w:hint="default" w:ascii="仿宋_GB2312" w:hAnsi="黑体" w:eastAsia="仿宋_GB2312" w:cs="黑体"/>
                <w:bCs/>
              </w:rPr>
              <w:t>2YB138</w:t>
            </w:r>
            <w:r>
              <w:rPr>
                <w:rStyle w:val="26"/>
                <w:rFonts w:hint="eastAsia" w:ascii="仿宋_GB2312" w:hAnsi="黑体" w:eastAsia="仿宋_GB2312" w:cs="黑体"/>
                <w:bCs/>
              </w:rPr>
              <w:t>）</w:t>
            </w:r>
          </w:p>
        </w:tc>
        <w:tc>
          <w:tcPr>
            <w:tcW w:w="1177"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江西省教科规划办</w:t>
            </w:r>
          </w:p>
        </w:tc>
        <w:tc>
          <w:tcPr>
            <w:tcW w:w="1656"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2</w:t>
            </w:r>
            <w:r>
              <w:rPr>
                <w:rStyle w:val="26"/>
                <w:rFonts w:hint="default" w:ascii="仿宋_GB2312" w:hAnsi="黑体" w:eastAsia="仿宋_GB2312" w:cs="黑体"/>
                <w:bCs/>
              </w:rPr>
              <w:t>022/06-2023/05</w:t>
            </w:r>
          </w:p>
        </w:tc>
        <w:tc>
          <w:tcPr>
            <w:tcW w:w="1129" w:type="dxa"/>
            <w:tcBorders>
              <w:righ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王燕子</w:t>
            </w:r>
          </w:p>
        </w:tc>
        <w:tc>
          <w:tcPr>
            <w:tcW w:w="1177" w:type="dxa"/>
            <w:tcBorders>
              <w:lef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1</w:t>
            </w:r>
            <w:r>
              <w:rPr>
                <w:rStyle w:val="26"/>
                <w:rFonts w:hint="default" w:ascii="仿宋_GB2312" w:hAnsi="黑体" w:eastAsia="仿宋_GB2312" w:cs="黑体"/>
                <w:bC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0"/>
              <w:keepNext w:val="0"/>
              <w:keepLines w:val="0"/>
              <w:suppressLineNumbers w:val="0"/>
              <w:snapToGrid w:val="0"/>
              <w:spacing w:before="0" w:beforeAutospacing="0" w:after="0" w:afterAutospacing="0" w:line="360" w:lineRule="auto"/>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8</w:t>
            </w:r>
          </w:p>
        </w:tc>
        <w:tc>
          <w:tcPr>
            <w:tcW w:w="2428"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江西省营商环境优化升级对民营企业创新投入的影响效应及作用机制研究（</w:t>
            </w:r>
            <w:r>
              <w:rPr>
                <w:rStyle w:val="26"/>
                <w:rFonts w:hint="default" w:ascii="仿宋_GB2312" w:hAnsi="黑体" w:eastAsia="仿宋_GB2312" w:cs="黑体"/>
                <w:bCs/>
              </w:rPr>
              <w:t>JJ22233</w:t>
            </w:r>
            <w:r>
              <w:rPr>
                <w:rStyle w:val="26"/>
                <w:rFonts w:hint="eastAsia" w:ascii="仿宋_GB2312" w:hAnsi="黑体" w:eastAsia="仿宋_GB2312" w:cs="黑体"/>
                <w:bCs/>
              </w:rPr>
              <w:t>）</w:t>
            </w:r>
          </w:p>
        </w:tc>
        <w:tc>
          <w:tcPr>
            <w:tcW w:w="1177"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江西省教育厅</w:t>
            </w:r>
          </w:p>
        </w:tc>
        <w:tc>
          <w:tcPr>
            <w:tcW w:w="1656"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default" w:ascii="仿宋_GB2312" w:hAnsi="黑体" w:eastAsia="仿宋_GB2312" w:cs="黑体"/>
                <w:bCs/>
              </w:rPr>
              <w:t>2022/12—</w:t>
            </w:r>
          </w:p>
        </w:tc>
        <w:tc>
          <w:tcPr>
            <w:tcW w:w="1129" w:type="dxa"/>
            <w:tcBorders>
              <w:righ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张雷云</w:t>
            </w:r>
          </w:p>
        </w:tc>
        <w:tc>
          <w:tcPr>
            <w:tcW w:w="1177" w:type="dxa"/>
            <w:tcBorders>
              <w:lef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default" w:ascii="仿宋_GB2312" w:hAnsi="黑体" w:eastAsia="仿宋_GB2312" w:cs="黑体"/>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0"/>
              <w:keepNext w:val="0"/>
              <w:keepLines w:val="0"/>
              <w:suppressLineNumbers w:val="0"/>
              <w:snapToGrid w:val="0"/>
              <w:spacing w:before="0" w:beforeAutospacing="0" w:after="0" w:afterAutospacing="0" w:line="360" w:lineRule="auto"/>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9</w:t>
            </w:r>
          </w:p>
        </w:tc>
        <w:tc>
          <w:tcPr>
            <w:tcW w:w="2428"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基于价值创造人才评价体系对江西人力资本发展路径的研究（</w:t>
            </w:r>
            <w:r>
              <w:rPr>
                <w:rStyle w:val="26"/>
                <w:rFonts w:hint="default" w:ascii="仿宋_GB2312" w:hAnsi="黑体" w:eastAsia="仿宋_GB2312" w:cs="黑体"/>
                <w:bCs/>
              </w:rPr>
              <w:t>GJJ2201336</w:t>
            </w:r>
            <w:r>
              <w:rPr>
                <w:rStyle w:val="26"/>
                <w:rFonts w:hint="eastAsia" w:ascii="仿宋_GB2312" w:hAnsi="黑体" w:eastAsia="仿宋_GB2312" w:cs="黑体"/>
                <w:bCs/>
              </w:rPr>
              <w:t>）</w:t>
            </w:r>
          </w:p>
        </w:tc>
        <w:tc>
          <w:tcPr>
            <w:tcW w:w="1177"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江西省教育厅</w:t>
            </w:r>
          </w:p>
        </w:tc>
        <w:tc>
          <w:tcPr>
            <w:tcW w:w="1656"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default" w:ascii="仿宋_GB2312" w:hAnsi="黑体" w:eastAsia="仿宋_GB2312" w:cs="黑体"/>
                <w:bCs/>
              </w:rPr>
              <w:t>2022/12—</w:t>
            </w:r>
          </w:p>
        </w:tc>
        <w:tc>
          <w:tcPr>
            <w:tcW w:w="1129" w:type="dxa"/>
            <w:tcBorders>
              <w:righ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邬丹</w:t>
            </w:r>
          </w:p>
        </w:tc>
        <w:tc>
          <w:tcPr>
            <w:tcW w:w="1177" w:type="dxa"/>
            <w:tcBorders>
              <w:lef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0"/>
              <w:keepNext w:val="0"/>
              <w:keepLines w:val="0"/>
              <w:suppressLineNumbers w:val="0"/>
              <w:snapToGrid w:val="0"/>
              <w:spacing w:before="0" w:beforeAutospacing="0" w:after="0" w:afterAutospacing="0" w:line="360" w:lineRule="auto"/>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1</w:t>
            </w:r>
            <w:r>
              <w:rPr>
                <w:rStyle w:val="26"/>
                <w:rFonts w:hint="default" w:ascii="仿宋_GB2312" w:hAnsi="黑体" w:eastAsia="仿宋_GB2312" w:cs="黑体"/>
                <w:bCs/>
              </w:rPr>
              <w:t>0</w:t>
            </w:r>
          </w:p>
        </w:tc>
        <w:tc>
          <w:tcPr>
            <w:tcW w:w="2428"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碳排放重点行业碳中和技术创新机制建设研究（</w:t>
            </w:r>
            <w:r>
              <w:rPr>
                <w:rStyle w:val="26"/>
                <w:rFonts w:hint="eastAsia" w:ascii="仿宋_GB2312" w:hAnsi="黑体" w:eastAsia="仿宋_GB2312" w:cs="黑体"/>
              </w:rPr>
              <w:t>GJJ2201327</w:t>
            </w:r>
            <w:r>
              <w:rPr>
                <w:rStyle w:val="26"/>
                <w:rFonts w:hint="eastAsia" w:ascii="仿宋_GB2312" w:hAnsi="黑体" w:eastAsia="仿宋_GB2312" w:cs="黑体"/>
                <w:bCs/>
              </w:rPr>
              <w:t>）</w:t>
            </w:r>
          </w:p>
        </w:tc>
        <w:tc>
          <w:tcPr>
            <w:tcW w:w="1177"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江西省教育厅</w:t>
            </w:r>
          </w:p>
        </w:tc>
        <w:tc>
          <w:tcPr>
            <w:tcW w:w="1656"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2</w:t>
            </w:r>
            <w:r>
              <w:rPr>
                <w:rStyle w:val="26"/>
                <w:rFonts w:hint="default" w:ascii="仿宋_GB2312" w:hAnsi="黑体" w:eastAsia="仿宋_GB2312" w:cs="黑体"/>
                <w:bCs/>
              </w:rPr>
              <w:t>023/01-2024/12</w:t>
            </w:r>
          </w:p>
        </w:tc>
        <w:tc>
          <w:tcPr>
            <w:tcW w:w="1129" w:type="dxa"/>
            <w:tcBorders>
              <w:righ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汤新发</w:t>
            </w:r>
          </w:p>
        </w:tc>
        <w:tc>
          <w:tcPr>
            <w:tcW w:w="1177" w:type="dxa"/>
            <w:tcBorders>
              <w:lef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0"/>
              <w:keepNext w:val="0"/>
              <w:keepLines w:val="0"/>
              <w:suppressLineNumbers w:val="0"/>
              <w:snapToGrid w:val="0"/>
              <w:spacing w:before="0" w:beforeAutospacing="0" w:after="0" w:afterAutospacing="0" w:line="360" w:lineRule="auto"/>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1</w:t>
            </w:r>
            <w:r>
              <w:rPr>
                <w:rStyle w:val="26"/>
                <w:rFonts w:hint="default" w:ascii="仿宋_GB2312" w:hAnsi="黑体" w:eastAsia="仿宋_GB2312" w:cs="黑体"/>
                <w:bCs/>
              </w:rPr>
              <w:t>1</w:t>
            </w:r>
          </w:p>
        </w:tc>
        <w:tc>
          <w:tcPr>
            <w:tcW w:w="2428"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rPr>
              <w:t>重点课题：</w:t>
            </w:r>
            <w:r>
              <w:rPr>
                <w:rStyle w:val="26"/>
                <w:rFonts w:hint="eastAsia" w:ascii="仿宋_GB2312" w:hAnsi="黑体" w:eastAsia="仿宋_GB2312" w:cs="黑体"/>
                <w:bCs/>
              </w:rPr>
              <w:t>职教师范认证背景下职技高师院校本科生创新实践能力培养路径研究（21D063）</w:t>
            </w:r>
          </w:p>
        </w:tc>
        <w:tc>
          <w:tcPr>
            <w:tcW w:w="1177" w:type="dxa"/>
            <w:vAlign w:val="center"/>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江西省教育厅</w:t>
            </w:r>
          </w:p>
        </w:tc>
        <w:tc>
          <w:tcPr>
            <w:tcW w:w="1656" w:type="dxa"/>
            <w:vAlign w:val="center"/>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default" w:ascii="仿宋_GB2312" w:hAnsi="黑体" w:eastAsia="仿宋_GB2312" w:cs="黑体"/>
                <w:bCs/>
              </w:rPr>
              <w:t>2021/01—2024/12</w:t>
            </w:r>
          </w:p>
        </w:tc>
        <w:tc>
          <w:tcPr>
            <w:tcW w:w="1129" w:type="dxa"/>
            <w:vAlign w:val="center"/>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刘斌</w:t>
            </w:r>
          </w:p>
        </w:tc>
        <w:tc>
          <w:tcPr>
            <w:tcW w:w="1177" w:type="dxa"/>
            <w:vAlign w:val="center"/>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default" w:ascii="仿宋_GB2312" w:hAnsi="黑体" w:eastAsia="仿宋_GB2312" w:cs="黑体"/>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0"/>
              <w:keepNext w:val="0"/>
              <w:keepLines w:val="0"/>
              <w:suppressLineNumbers w:val="0"/>
              <w:snapToGrid w:val="0"/>
              <w:spacing w:before="0" w:beforeAutospacing="0" w:after="0" w:afterAutospacing="0" w:line="360" w:lineRule="auto"/>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1</w:t>
            </w:r>
            <w:r>
              <w:rPr>
                <w:rStyle w:val="26"/>
                <w:rFonts w:hint="default" w:ascii="仿宋_GB2312" w:hAnsi="黑体" w:eastAsia="仿宋_GB2312" w:cs="黑体"/>
                <w:bCs/>
              </w:rPr>
              <w:t>2</w:t>
            </w:r>
          </w:p>
        </w:tc>
        <w:tc>
          <w:tcPr>
            <w:tcW w:w="2428"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地方职业院校“线上与线下”教育融合难点与突破路径研究</w:t>
            </w:r>
          </w:p>
        </w:tc>
        <w:tc>
          <w:tcPr>
            <w:tcW w:w="1177"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江西省社会科学规划办</w:t>
            </w:r>
          </w:p>
        </w:tc>
        <w:tc>
          <w:tcPr>
            <w:tcW w:w="1656"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2</w:t>
            </w:r>
            <w:r>
              <w:rPr>
                <w:rStyle w:val="26"/>
                <w:rFonts w:hint="default" w:ascii="仿宋_GB2312" w:hAnsi="黑体" w:eastAsia="仿宋_GB2312" w:cs="黑体"/>
                <w:bCs/>
              </w:rPr>
              <w:t>022/01</w:t>
            </w:r>
            <w:r>
              <w:rPr>
                <w:rStyle w:val="26"/>
                <w:rFonts w:hint="eastAsia" w:ascii="仿宋_GB2312" w:hAnsi="黑体" w:eastAsia="仿宋_GB2312" w:cs="黑体"/>
                <w:bCs/>
              </w:rPr>
              <w:t>-</w:t>
            </w:r>
            <w:r>
              <w:rPr>
                <w:rStyle w:val="26"/>
                <w:rFonts w:hint="default" w:ascii="仿宋_GB2312" w:hAnsi="黑体" w:eastAsia="仿宋_GB2312" w:cs="黑体"/>
                <w:bCs/>
              </w:rPr>
              <w:t>2025</w:t>
            </w:r>
            <w:r>
              <w:rPr>
                <w:rStyle w:val="26"/>
                <w:rFonts w:hint="eastAsia" w:ascii="仿宋_GB2312" w:hAnsi="黑体" w:eastAsia="仿宋_GB2312" w:cs="黑体"/>
                <w:bCs/>
              </w:rPr>
              <w:t>/</w:t>
            </w:r>
            <w:r>
              <w:rPr>
                <w:rStyle w:val="26"/>
                <w:rFonts w:hint="default" w:ascii="仿宋_GB2312" w:hAnsi="黑体" w:eastAsia="仿宋_GB2312" w:cs="黑体"/>
                <w:bCs/>
              </w:rPr>
              <w:t>12</w:t>
            </w:r>
          </w:p>
        </w:tc>
        <w:tc>
          <w:tcPr>
            <w:tcW w:w="1129" w:type="dxa"/>
            <w:tcBorders>
              <w:righ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刘斌</w:t>
            </w:r>
          </w:p>
        </w:tc>
        <w:tc>
          <w:tcPr>
            <w:tcW w:w="1177" w:type="dxa"/>
            <w:tcBorders>
              <w:lef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0"/>
              <w:keepNext w:val="0"/>
              <w:keepLines w:val="0"/>
              <w:suppressLineNumbers w:val="0"/>
              <w:snapToGrid w:val="0"/>
              <w:spacing w:before="0" w:beforeAutospacing="0" w:after="0" w:afterAutospacing="0" w:line="360" w:lineRule="auto"/>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1</w:t>
            </w:r>
            <w:r>
              <w:rPr>
                <w:rStyle w:val="26"/>
                <w:rFonts w:hint="default" w:ascii="仿宋_GB2312" w:hAnsi="黑体" w:eastAsia="仿宋_GB2312" w:cs="黑体"/>
                <w:bCs/>
              </w:rPr>
              <w:t>3</w:t>
            </w:r>
          </w:p>
        </w:tc>
        <w:tc>
          <w:tcPr>
            <w:tcW w:w="2428"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城市突发公共卫生事件经济影响与应急处置机制研究（</w:t>
            </w:r>
            <w:r>
              <w:rPr>
                <w:rStyle w:val="26"/>
                <w:rFonts w:hint="default" w:ascii="仿宋_GB2312" w:hAnsi="黑体" w:eastAsia="仿宋_GB2312" w:cs="黑体"/>
                <w:bCs/>
              </w:rPr>
              <w:t>GJJ211128</w:t>
            </w:r>
            <w:r>
              <w:rPr>
                <w:rStyle w:val="26"/>
                <w:rFonts w:hint="eastAsia" w:ascii="仿宋_GB2312" w:hAnsi="黑体" w:eastAsia="仿宋_GB2312" w:cs="黑体"/>
                <w:bCs/>
              </w:rPr>
              <w:t>）</w:t>
            </w:r>
          </w:p>
        </w:tc>
        <w:tc>
          <w:tcPr>
            <w:tcW w:w="1177"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江西省教育厅</w:t>
            </w:r>
          </w:p>
        </w:tc>
        <w:tc>
          <w:tcPr>
            <w:tcW w:w="1656"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2</w:t>
            </w:r>
            <w:r>
              <w:rPr>
                <w:rStyle w:val="26"/>
                <w:rFonts w:hint="default" w:ascii="仿宋_GB2312" w:hAnsi="黑体" w:eastAsia="仿宋_GB2312" w:cs="黑体"/>
                <w:bCs/>
              </w:rPr>
              <w:t>022/01-2023</w:t>
            </w:r>
            <w:r>
              <w:rPr>
                <w:rStyle w:val="26"/>
                <w:rFonts w:hint="eastAsia" w:ascii="仿宋_GB2312" w:hAnsi="黑体" w:eastAsia="仿宋_GB2312" w:cs="黑体"/>
                <w:bCs/>
              </w:rPr>
              <w:t>/</w:t>
            </w:r>
            <w:r>
              <w:rPr>
                <w:rStyle w:val="26"/>
                <w:rFonts w:hint="default" w:ascii="仿宋_GB2312" w:hAnsi="黑体" w:eastAsia="仿宋_GB2312" w:cs="黑体"/>
                <w:bCs/>
              </w:rPr>
              <w:t>12</w:t>
            </w:r>
          </w:p>
        </w:tc>
        <w:tc>
          <w:tcPr>
            <w:tcW w:w="1129" w:type="dxa"/>
            <w:tcBorders>
              <w:righ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阮帅</w:t>
            </w:r>
          </w:p>
        </w:tc>
        <w:tc>
          <w:tcPr>
            <w:tcW w:w="1177" w:type="dxa"/>
            <w:tcBorders>
              <w:lef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0"/>
              <w:keepNext w:val="0"/>
              <w:keepLines w:val="0"/>
              <w:suppressLineNumbers w:val="0"/>
              <w:snapToGrid w:val="0"/>
              <w:spacing w:before="0" w:beforeAutospacing="0" w:after="0" w:afterAutospacing="0" w:line="360" w:lineRule="auto"/>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1</w:t>
            </w:r>
            <w:r>
              <w:rPr>
                <w:rStyle w:val="26"/>
                <w:rFonts w:hint="default" w:ascii="仿宋_GB2312" w:hAnsi="黑体" w:eastAsia="仿宋_GB2312" w:cs="黑体"/>
                <w:bCs/>
              </w:rPr>
              <w:t>4</w:t>
            </w:r>
          </w:p>
        </w:tc>
        <w:tc>
          <w:tcPr>
            <w:tcW w:w="2428"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基于学习者动态评价的精准教学模式研究</w:t>
            </w:r>
            <w:r>
              <w:rPr>
                <w:rStyle w:val="26"/>
                <w:rFonts w:hint="default" w:ascii="仿宋_GB2312" w:hAnsi="黑体" w:eastAsia="仿宋_GB2312" w:cs="黑体"/>
                <w:bCs/>
              </w:rPr>
              <w:t>(21YB129)</w:t>
            </w:r>
          </w:p>
        </w:tc>
        <w:tc>
          <w:tcPr>
            <w:tcW w:w="1177"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江西省教育厅</w:t>
            </w:r>
          </w:p>
        </w:tc>
        <w:tc>
          <w:tcPr>
            <w:tcW w:w="1656"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2</w:t>
            </w:r>
            <w:r>
              <w:rPr>
                <w:rStyle w:val="26"/>
                <w:rFonts w:hint="default" w:ascii="仿宋_GB2312" w:hAnsi="黑体" w:eastAsia="仿宋_GB2312" w:cs="黑体"/>
                <w:bCs/>
              </w:rPr>
              <w:t>022/01-2023</w:t>
            </w:r>
            <w:r>
              <w:rPr>
                <w:rStyle w:val="26"/>
                <w:rFonts w:hint="eastAsia" w:ascii="仿宋_GB2312" w:hAnsi="黑体" w:eastAsia="仿宋_GB2312" w:cs="黑体"/>
                <w:bCs/>
              </w:rPr>
              <w:t>/</w:t>
            </w:r>
            <w:r>
              <w:rPr>
                <w:rStyle w:val="26"/>
                <w:rFonts w:hint="default" w:ascii="仿宋_GB2312" w:hAnsi="黑体" w:eastAsia="仿宋_GB2312" w:cs="黑体"/>
                <w:bCs/>
              </w:rPr>
              <w:t>12</w:t>
            </w:r>
          </w:p>
        </w:tc>
        <w:tc>
          <w:tcPr>
            <w:tcW w:w="1129" w:type="dxa"/>
            <w:tcBorders>
              <w:righ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张雷云</w:t>
            </w:r>
          </w:p>
        </w:tc>
        <w:tc>
          <w:tcPr>
            <w:tcW w:w="1177" w:type="dxa"/>
            <w:tcBorders>
              <w:lef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default" w:ascii="仿宋_GB2312" w:hAnsi="黑体" w:eastAsia="仿宋_GB2312" w:cs="黑体"/>
                <w:bC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0"/>
              <w:keepNext w:val="0"/>
              <w:keepLines w:val="0"/>
              <w:suppressLineNumbers w:val="0"/>
              <w:snapToGrid w:val="0"/>
              <w:spacing w:before="0" w:beforeAutospacing="0" w:after="0" w:afterAutospacing="0" w:line="360" w:lineRule="auto"/>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1</w:t>
            </w:r>
            <w:r>
              <w:rPr>
                <w:rStyle w:val="26"/>
                <w:rFonts w:hint="default" w:ascii="仿宋_GB2312" w:hAnsi="黑体" w:eastAsia="仿宋_GB2312" w:cs="黑体"/>
                <w:bCs/>
              </w:rPr>
              <w:t>5</w:t>
            </w:r>
          </w:p>
        </w:tc>
        <w:tc>
          <w:tcPr>
            <w:tcW w:w="2428"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 xml:space="preserve">教旅融合背景下地学类研学旅行课程的“校-园”协同创新策略研究（ </w:t>
            </w:r>
            <w:r>
              <w:rPr>
                <w:rStyle w:val="26"/>
                <w:rFonts w:hint="default" w:ascii="仿宋_GB2312" w:hAnsi="黑体" w:eastAsia="仿宋_GB2312" w:cs="黑体"/>
                <w:bCs/>
              </w:rPr>
              <w:t>21YB140</w:t>
            </w:r>
            <w:r>
              <w:rPr>
                <w:rStyle w:val="26"/>
                <w:rFonts w:hint="eastAsia" w:ascii="仿宋_GB2312" w:hAnsi="黑体" w:eastAsia="仿宋_GB2312" w:cs="黑体"/>
                <w:bCs/>
              </w:rPr>
              <w:t>）</w:t>
            </w:r>
          </w:p>
        </w:tc>
        <w:tc>
          <w:tcPr>
            <w:tcW w:w="1177"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江西省教育厅</w:t>
            </w:r>
          </w:p>
        </w:tc>
        <w:tc>
          <w:tcPr>
            <w:tcW w:w="1656" w:type="dxa"/>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2</w:t>
            </w:r>
            <w:r>
              <w:rPr>
                <w:rStyle w:val="26"/>
                <w:rFonts w:hint="default" w:ascii="仿宋_GB2312" w:hAnsi="黑体" w:eastAsia="仿宋_GB2312" w:cs="黑体"/>
                <w:bCs/>
              </w:rPr>
              <w:t>022/01-2023</w:t>
            </w:r>
            <w:r>
              <w:rPr>
                <w:rStyle w:val="26"/>
                <w:rFonts w:hint="eastAsia" w:ascii="仿宋_GB2312" w:hAnsi="黑体" w:eastAsia="仿宋_GB2312" w:cs="黑体"/>
                <w:bCs/>
              </w:rPr>
              <w:t>/</w:t>
            </w:r>
            <w:r>
              <w:rPr>
                <w:rStyle w:val="26"/>
                <w:rFonts w:hint="default" w:ascii="仿宋_GB2312" w:hAnsi="黑体" w:eastAsia="仿宋_GB2312" w:cs="黑体"/>
                <w:bCs/>
              </w:rPr>
              <w:t>12</w:t>
            </w:r>
          </w:p>
        </w:tc>
        <w:tc>
          <w:tcPr>
            <w:tcW w:w="1129" w:type="dxa"/>
            <w:tcBorders>
              <w:righ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eastAsia" w:ascii="仿宋_GB2312" w:hAnsi="黑体" w:eastAsia="仿宋_GB2312" w:cs="黑体"/>
                <w:bCs/>
              </w:rPr>
              <w:t>叶张煌</w:t>
            </w:r>
          </w:p>
        </w:tc>
        <w:tc>
          <w:tcPr>
            <w:tcW w:w="1177" w:type="dxa"/>
            <w:tcBorders>
              <w:left w:val="single" w:color="auto" w:sz="4" w:space="0"/>
            </w:tcBorders>
          </w:tcPr>
          <w:p>
            <w:pPr>
              <w:pStyle w:val="30"/>
              <w:keepNext w:val="0"/>
              <w:keepLines w:val="0"/>
              <w:suppressLineNumbers w:val="0"/>
              <w:snapToGrid w:val="0"/>
              <w:spacing w:before="0" w:beforeAutospacing="0" w:after="0" w:afterAutospacing="0"/>
              <w:ind w:left="0" w:right="0" w:firstLine="0" w:firstLineChars="0"/>
              <w:rPr>
                <w:rStyle w:val="26"/>
                <w:rFonts w:hint="default" w:ascii="仿宋_GB2312" w:hAnsi="黑体" w:eastAsia="仿宋_GB2312" w:cs="黑体"/>
                <w:bCs/>
              </w:rPr>
            </w:pPr>
            <w:r>
              <w:rPr>
                <w:rStyle w:val="26"/>
                <w:rFonts w:hint="default" w:ascii="仿宋_GB2312" w:hAnsi="黑体" w:eastAsia="仿宋_GB2312" w:cs="黑体"/>
                <w:bCs/>
              </w:rPr>
              <w:t>1</w:t>
            </w:r>
          </w:p>
        </w:tc>
      </w:tr>
    </w:tbl>
    <w:p>
      <w:pPr>
        <w:pStyle w:val="30"/>
        <w:snapToGrid w:val="0"/>
        <w:spacing w:line="360" w:lineRule="auto"/>
        <w:ind w:firstLine="560"/>
        <w:rPr>
          <w:rStyle w:val="26"/>
          <w:rFonts w:ascii="仿宋_GB2312" w:hAnsi="黑体" w:eastAsia="仿宋_GB2312" w:cs="黑体"/>
          <w:bCs/>
          <w:sz w:val="28"/>
          <w:szCs w:val="28"/>
        </w:rPr>
      </w:pPr>
      <w:r>
        <w:rPr>
          <w:rStyle w:val="26"/>
          <w:rFonts w:hint="eastAsia" w:ascii="仿宋_GB2312" w:hAnsi="黑体" w:eastAsia="仿宋_GB2312" w:cs="黑体"/>
          <w:bCs/>
          <w:sz w:val="28"/>
          <w:szCs w:val="28"/>
        </w:rPr>
        <w:t>（3）202</w:t>
      </w:r>
      <w:r>
        <w:rPr>
          <w:rStyle w:val="26"/>
          <w:rFonts w:ascii="仿宋_GB2312" w:hAnsi="黑体" w:eastAsia="仿宋_GB2312" w:cs="黑体"/>
          <w:bCs/>
          <w:sz w:val="28"/>
          <w:szCs w:val="28"/>
        </w:rPr>
        <w:t>3</w:t>
      </w:r>
      <w:r>
        <w:rPr>
          <w:rStyle w:val="26"/>
          <w:rFonts w:hint="eastAsia" w:ascii="仿宋_GB2312" w:hAnsi="黑体" w:eastAsia="仿宋_GB2312" w:cs="黑体"/>
          <w:bCs/>
          <w:sz w:val="28"/>
          <w:szCs w:val="28"/>
        </w:rPr>
        <w:t>年度，本学位点发表代表性学术论文</w:t>
      </w:r>
      <w:r>
        <w:rPr>
          <w:rStyle w:val="26"/>
          <w:rFonts w:ascii="仿宋_GB2312" w:hAnsi="黑体" w:eastAsia="仿宋_GB2312" w:cs="黑体"/>
          <w:bCs/>
          <w:sz w:val="28"/>
          <w:szCs w:val="28"/>
        </w:rPr>
        <w:t>10</w:t>
      </w:r>
      <w:r>
        <w:rPr>
          <w:rStyle w:val="26"/>
          <w:rFonts w:hint="eastAsia" w:ascii="仿宋_GB2312" w:hAnsi="黑体" w:eastAsia="仿宋_GB2312" w:cs="黑体"/>
          <w:bCs/>
          <w:sz w:val="28"/>
          <w:szCs w:val="28"/>
        </w:rPr>
        <w:t>篇。其中，SCI论文</w:t>
      </w:r>
      <w:r>
        <w:rPr>
          <w:rStyle w:val="26"/>
          <w:rFonts w:ascii="仿宋_GB2312" w:hAnsi="黑体" w:eastAsia="仿宋_GB2312" w:cs="黑体"/>
          <w:bCs/>
          <w:sz w:val="28"/>
          <w:szCs w:val="28"/>
        </w:rPr>
        <w:t>2</w:t>
      </w:r>
      <w:r>
        <w:rPr>
          <w:rStyle w:val="26"/>
          <w:rFonts w:hint="eastAsia" w:ascii="仿宋_GB2312" w:hAnsi="黑体" w:eastAsia="仿宋_GB2312" w:cs="黑体"/>
          <w:bCs/>
          <w:sz w:val="28"/>
          <w:szCs w:val="28"/>
        </w:rPr>
        <w:t>篇，CSSCI论文</w:t>
      </w:r>
      <w:r>
        <w:rPr>
          <w:rStyle w:val="26"/>
          <w:rFonts w:ascii="仿宋_GB2312" w:hAnsi="黑体" w:eastAsia="仿宋_GB2312" w:cs="黑体"/>
          <w:bCs/>
          <w:sz w:val="28"/>
          <w:szCs w:val="28"/>
        </w:rPr>
        <w:t>1</w:t>
      </w:r>
      <w:r>
        <w:rPr>
          <w:rStyle w:val="26"/>
          <w:rFonts w:hint="eastAsia" w:ascii="仿宋_GB2312" w:hAnsi="黑体" w:eastAsia="仿宋_GB2312" w:cs="黑体"/>
          <w:bCs/>
          <w:sz w:val="28"/>
          <w:szCs w:val="28"/>
        </w:rPr>
        <w:t>篇，人大复印转载2篇，</w:t>
      </w:r>
      <w:r>
        <w:rPr>
          <w:rStyle w:val="26"/>
          <w:rFonts w:ascii="仿宋_GB2312" w:hAnsi="黑体" w:eastAsia="仿宋_GB2312" w:cs="黑体"/>
          <w:bCs/>
          <w:sz w:val="28"/>
          <w:szCs w:val="28"/>
        </w:rPr>
        <w:t>北大核心</w:t>
      </w:r>
      <w:r>
        <w:rPr>
          <w:rStyle w:val="26"/>
          <w:rFonts w:hint="eastAsia" w:ascii="仿宋_GB2312" w:hAnsi="黑体" w:eastAsia="仿宋_GB2312" w:cs="黑体"/>
          <w:bCs/>
          <w:sz w:val="28"/>
          <w:szCs w:val="28"/>
        </w:rPr>
        <w:t>5篇，教材1部、专著1部。</w:t>
      </w:r>
    </w:p>
    <w:p>
      <w:pPr>
        <w:pStyle w:val="30"/>
        <w:snapToGrid w:val="0"/>
        <w:spacing w:line="360" w:lineRule="auto"/>
        <w:ind w:firstLine="560"/>
        <w:rPr>
          <w:rStyle w:val="26"/>
          <w:rFonts w:ascii="仿宋_GB2312" w:hAnsi="黑体" w:eastAsia="仿宋_GB2312" w:cs="黑体"/>
          <w:bCs/>
          <w:sz w:val="28"/>
          <w:szCs w:val="28"/>
        </w:rPr>
      </w:pPr>
      <w:r>
        <w:rPr>
          <w:rStyle w:val="26"/>
          <w:rFonts w:hint="eastAsia" w:ascii="仿宋_GB2312" w:hAnsi="黑体" w:eastAsia="仿宋_GB2312" w:cs="黑体"/>
          <w:bCs/>
          <w:sz w:val="28"/>
          <w:szCs w:val="28"/>
        </w:rPr>
        <w:t xml:space="preserve">           </w:t>
      </w:r>
      <w:r>
        <w:rPr>
          <w:rStyle w:val="26"/>
          <w:rFonts w:hint="eastAsia" w:ascii="仿宋_GB2312" w:hAnsi="方正仿宋简体" w:eastAsia="仿宋_GB2312" w:cs="方正仿宋简体"/>
          <w:b/>
          <w:bCs/>
          <w:sz w:val="22"/>
          <w:szCs w:val="30"/>
        </w:rPr>
        <w:t xml:space="preserve">    表8  202</w:t>
      </w:r>
      <w:r>
        <w:rPr>
          <w:rStyle w:val="26"/>
          <w:rFonts w:ascii="仿宋_GB2312" w:hAnsi="方正仿宋简体" w:eastAsia="仿宋_GB2312" w:cs="方正仿宋简体"/>
          <w:b/>
          <w:bCs/>
          <w:sz w:val="22"/>
          <w:szCs w:val="30"/>
        </w:rPr>
        <w:t>3</w:t>
      </w:r>
      <w:r>
        <w:rPr>
          <w:rStyle w:val="26"/>
          <w:rFonts w:hint="eastAsia" w:ascii="仿宋_GB2312" w:hAnsi="方正仿宋简体" w:eastAsia="仿宋_GB2312" w:cs="方正仿宋简体"/>
          <w:b/>
          <w:bCs/>
          <w:sz w:val="22"/>
          <w:szCs w:val="30"/>
        </w:rPr>
        <w:t>年度发表的代表性论文</w:t>
      </w:r>
    </w:p>
    <w:tbl>
      <w:tblPr>
        <w:tblStyle w:val="1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07"/>
        <w:gridCol w:w="1572"/>
        <w:gridCol w:w="1341"/>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4"/>
              </w:rPr>
            </w:pPr>
            <w:bookmarkStart w:id="5" w:name="_Toc527799238"/>
            <w:bookmarkStart w:id="6" w:name="_Toc527800265"/>
            <w:r>
              <w:rPr>
                <w:rFonts w:hint="eastAsia" w:ascii="宋体" w:hAnsi="宋体" w:eastAsia="宋体" w:cs="宋体"/>
                <w:sz w:val="24"/>
              </w:rPr>
              <w:t>序号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论 文</w:t>
            </w:r>
            <w:r>
              <w:rPr>
                <w:rFonts w:hint="default" w:ascii="宋体" w:hAnsi="宋体" w:eastAsia="宋体" w:cs="宋体"/>
                <w:sz w:val="24"/>
              </w:rPr>
              <w:t xml:space="preserve"> </w:t>
            </w:r>
            <w:r>
              <w:rPr>
                <w:rFonts w:hint="eastAsia" w:ascii="宋体" w:hAnsi="宋体" w:eastAsia="宋体" w:cs="宋体"/>
                <w:sz w:val="24"/>
              </w:rPr>
              <w:t>名</w:t>
            </w:r>
            <w:r>
              <w:rPr>
                <w:rFonts w:hint="default" w:ascii="宋体" w:hAnsi="宋体" w:eastAsia="宋体" w:cs="宋体"/>
                <w:sz w:val="24"/>
              </w:rPr>
              <w:t xml:space="preserve"> </w:t>
            </w:r>
            <w:r>
              <w:rPr>
                <w:rFonts w:hint="eastAsia" w:ascii="宋体" w:hAnsi="宋体" w:eastAsia="宋体" w:cs="宋体"/>
                <w:sz w:val="24"/>
              </w:rPr>
              <w:t>称</w:t>
            </w:r>
          </w:p>
        </w:tc>
        <w:tc>
          <w:tcPr>
            <w:tcW w:w="1572"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作者</w:t>
            </w:r>
          </w:p>
        </w:tc>
        <w:tc>
          <w:tcPr>
            <w:tcW w:w="134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发表时间</w:t>
            </w:r>
          </w:p>
        </w:tc>
        <w:tc>
          <w:tcPr>
            <w:tcW w:w="2693"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发表刊物名称及卷期数</w:t>
            </w:r>
            <w:r>
              <w:rPr>
                <w:rFonts w:hint="default" w:ascii="宋体" w:hAnsi="宋体" w:eastAsia="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widowControl/>
              <w:suppressLineNumbers w:val="0"/>
              <w:spacing w:before="0" w:beforeAutospacing="0" w:after="0" w:afterAutospacing="0"/>
              <w:ind w:left="0" w:right="0"/>
              <w:rPr>
                <w:rStyle w:val="26"/>
                <w:rFonts w:hint="default" w:ascii="仿宋_GB2312" w:hAnsi="黑体" w:eastAsia="仿宋_GB2312" w:cs="黑体"/>
                <w:bCs/>
              </w:rPr>
            </w:pPr>
            <w:r>
              <w:rPr>
                <w:rStyle w:val="26"/>
                <w:rFonts w:hint="eastAsia" w:ascii="仿宋_GB2312" w:hAnsi="黑体" w:eastAsia="仿宋_GB2312" w:cs="黑体"/>
                <w:bCs/>
              </w:rPr>
              <w:t>1</w:t>
            </w:r>
          </w:p>
        </w:tc>
        <w:tc>
          <w:tcPr>
            <w:tcW w:w="1907" w:type="dxa"/>
          </w:tcPr>
          <w:p>
            <w:pPr>
              <w:keepNext w:val="0"/>
              <w:keepLines w:val="0"/>
              <w:widowControl/>
              <w:suppressLineNumbers w:val="0"/>
              <w:spacing w:before="0" w:beforeAutospacing="0" w:after="0" w:afterAutospacing="0"/>
              <w:ind w:left="0" w:right="0"/>
              <w:rPr>
                <w:rStyle w:val="26"/>
                <w:rFonts w:hint="default" w:ascii="仿宋_GB2312" w:hAnsi="黑体" w:eastAsia="仿宋_GB2312" w:cs="黑体"/>
                <w:bCs/>
              </w:rPr>
            </w:pPr>
            <w:r>
              <w:rPr>
                <w:rStyle w:val="26"/>
                <w:rFonts w:hint="eastAsia" w:ascii="仿宋_GB2312" w:hAnsi="黑体" w:eastAsia="仿宋_GB2312" w:cs="黑体"/>
                <w:bCs/>
              </w:rPr>
              <w:t>科创板注册制、研发“粉饰”与IPO定价效率</w:t>
            </w:r>
          </w:p>
        </w:tc>
        <w:tc>
          <w:tcPr>
            <w:tcW w:w="1572" w:type="dxa"/>
          </w:tcPr>
          <w:p>
            <w:pPr>
              <w:keepNext w:val="0"/>
              <w:keepLines w:val="0"/>
              <w:widowControl/>
              <w:suppressLineNumbers w:val="0"/>
              <w:spacing w:before="0" w:beforeAutospacing="0" w:after="0" w:afterAutospacing="0"/>
              <w:ind w:left="0" w:right="0"/>
              <w:rPr>
                <w:rStyle w:val="26"/>
                <w:rFonts w:hint="default" w:ascii="仿宋_GB2312" w:hAnsi="黑体" w:eastAsia="仿宋_GB2312" w:cs="黑体"/>
                <w:bCs/>
              </w:rPr>
            </w:pPr>
            <w:r>
              <w:rPr>
                <w:rStyle w:val="26"/>
                <w:rFonts w:hint="eastAsia" w:ascii="仿宋_GB2312" w:hAnsi="黑体" w:eastAsia="仿宋_GB2312" w:cs="黑体"/>
                <w:bCs/>
              </w:rPr>
              <w:t>左璇等</w:t>
            </w:r>
          </w:p>
        </w:tc>
        <w:tc>
          <w:tcPr>
            <w:tcW w:w="1341" w:type="dxa"/>
          </w:tcPr>
          <w:p>
            <w:pPr>
              <w:keepNext w:val="0"/>
              <w:keepLines w:val="0"/>
              <w:widowControl/>
              <w:suppressLineNumbers w:val="0"/>
              <w:spacing w:before="0" w:beforeAutospacing="0" w:after="0" w:afterAutospacing="0"/>
              <w:ind w:left="0" w:right="0"/>
              <w:rPr>
                <w:rStyle w:val="26"/>
                <w:rFonts w:hint="default" w:ascii="仿宋_GB2312" w:hAnsi="黑体" w:eastAsia="仿宋_GB2312" w:cs="黑体"/>
                <w:bCs/>
              </w:rPr>
            </w:pPr>
            <w:r>
              <w:rPr>
                <w:rStyle w:val="26"/>
                <w:rFonts w:hint="eastAsia" w:ascii="仿宋_GB2312" w:hAnsi="黑体" w:eastAsia="仿宋_GB2312" w:cs="黑体"/>
                <w:bCs/>
              </w:rPr>
              <w:t>2</w:t>
            </w:r>
            <w:r>
              <w:rPr>
                <w:rStyle w:val="26"/>
                <w:rFonts w:hint="default" w:ascii="仿宋_GB2312" w:hAnsi="黑体" w:eastAsia="仿宋_GB2312" w:cs="黑体"/>
                <w:bCs/>
              </w:rPr>
              <w:t>02307</w:t>
            </w:r>
          </w:p>
        </w:tc>
        <w:tc>
          <w:tcPr>
            <w:tcW w:w="2693" w:type="dxa"/>
          </w:tcPr>
          <w:p>
            <w:pPr>
              <w:keepNext w:val="0"/>
              <w:keepLines w:val="0"/>
              <w:widowControl/>
              <w:suppressLineNumbers w:val="0"/>
              <w:spacing w:before="0" w:beforeAutospacing="0" w:after="0" w:afterAutospacing="0"/>
              <w:ind w:left="0" w:right="0"/>
              <w:rPr>
                <w:rStyle w:val="26"/>
                <w:rFonts w:hint="default" w:ascii="仿宋_GB2312" w:hAnsi="黑体" w:eastAsia="仿宋_GB2312" w:cs="黑体"/>
                <w:bCs/>
              </w:rPr>
            </w:pPr>
            <w:r>
              <w:rPr>
                <w:rStyle w:val="26"/>
                <w:rFonts w:hint="eastAsia" w:ascii="仿宋_GB2312" w:hAnsi="黑体" w:eastAsia="仿宋_GB2312" w:cs="黑体"/>
                <w:bCs/>
              </w:rPr>
              <w:t>当代财经（C</w:t>
            </w:r>
            <w:r>
              <w:rPr>
                <w:rStyle w:val="26"/>
                <w:rFonts w:hint="default" w:ascii="仿宋_GB2312" w:hAnsi="黑体" w:eastAsia="仿宋_GB2312" w:cs="黑体"/>
                <w:bCs/>
              </w:rPr>
              <w:t>SSCI</w:t>
            </w:r>
            <w:r>
              <w:rPr>
                <w:rStyle w:val="26"/>
                <w:rFonts w:hint="eastAsia" w:ascii="仿宋_GB2312" w:hAnsi="黑体" w:eastAsia="仿宋_GB2312" w:cs="黑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2</w:t>
            </w:r>
          </w:p>
        </w:tc>
        <w:tc>
          <w:tcPr>
            <w:tcW w:w="1907"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default" w:ascii="仿宋_GB2312" w:hAnsi="黑体" w:eastAsia="仿宋_GB2312" w:cs="黑体"/>
                <w:bCs/>
              </w:rPr>
              <w:t>企业社会责任是否影响审计契约？——基于事务所变更与审计费用双视角的实证分析</w:t>
            </w:r>
          </w:p>
        </w:tc>
        <w:tc>
          <w:tcPr>
            <w:tcW w:w="1572"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default" w:ascii="仿宋_GB2312" w:hAnsi="黑体" w:eastAsia="仿宋_GB2312" w:cs="黑体"/>
                <w:bCs/>
              </w:rPr>
              <w:t>刘斌等</w:t>
            </w:r>
          </w:p>
        </w:tc>
        <w:tc>
          <w:tcPr>
            <w:tcW w:w="1341"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2</w:t>
            </w:r>
            <w:r>
              <w:rPr>
                <w:rStyle w:val="26"/>
                <w:rFonts w:hint="default" w:ascii="仿宋_GB2312" w:hAnsi="黑体" w:eastAsia="仿宋_GB2312" w:cs="黑体"/>
                <w:bCs/>
              </w:rPr>
              <w:t>023.11</w:t>
            </w:r>
          </w:p>
        </w:tc>
        <w:tc>
          <w:tcPr>
            <w:tcW w:w="2693"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default" w:ascii="仿宋_GB2312" w:hAnsi="黑体" w:eastAsia="仿宋_GB2312" w:cs="黑体"/>
                <w:bCs/>
              </w:rPr>
              <w:t>《审计文摘》人大复印转账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3</w:t>
            </w:r>
          </w:p>
        </w:tc>
        <w:tc>
          <w:tcPr>
            <w:tcW w:w="1907" w:type="dxa"/>
            <w:vAlign w:val="center"/>
          </w:tcPr>
          <w:p>
            <w:pPr>
              <w:keepNext w:val="0"/>
              <w:keepLines w:val="0"/>
              <w:widowControl/>
              <w:suppressLineNumbers w:val="0"/>
              <w:spacing w:before="0" w:beforeAutospacing="0" w:after="0" w:afterAutospacing="0"/>
              <w:ind w:left="0" w:right="0"/>
              <w:jc w:val="left"/>
              <w:rPr>
                <w:rFonts w:hint="default"/>
                <w:sz w:val="15"/>
                <w:szCs w:val="15"/>
              </w:rPr>
            </w:pPr>
            <w:r>
              <w:rPr>
                <w:rStyle w:val="26"/>
                <w:rFonts w:hint="eastAsia" w:ascii="仿宋_GB2312" w:hAnsi="黑体" w:eastAsia="仿宋_GB2312" w:cs="黑体"/>
                <w:bCs/>
              </w:rPr>
              <w:t>国家审计推进营商环境持续优化升级路径研究</w:t>
            </w:r>
          </w:p>
        </w:tc>
        <w:tc>
          <w:tcPr>
            <w:tcW w:w="1572" w:type="dxa"/>
            <w:vAlign w:val="center"/>
          </w:tcPr>
          <w:p>
            <w:pPr>
              <w:keepNext w:val="0"/>
              <w:keepLines w:val="0"/>
              <w:widowControl/>
              <w:suppressLineNumbers w:val="0"/>
              <w:spacing w:before="0" w:beforeAutospacing="0" w:after="0" w:afterAutospacing="0"/>
              <w:ind w:left="0" w:right="0"/>
              <w:rPr>
                <w:rStyle w:val="26"/>
                <w:rFonts w:hint="default" w:ascii="仿宋_GB2312" w:hAnsi="黑体" w:eastAsia="仿宋_GB2312" w:cs="黑体"/>
                <w:bCs/>
              </w:rPr>
            </w:pPr>
            <w:r>
              <w:rPr>
                <w:rStyle w:val="26"/>
                <w:rFonts w:hint="default" w:ascii="仿宋_GB2312" w:hAnsi="黑体" w:eastAsia="仿宋_GB2312" w:cs="黑体"/>
                <w:bCs/>
              </w:rPr>
              <w:t>张雷云等</w:t>
            </w:r>
          </w:p>
        </w:tc>
        <w:tc>
          <w:tcPr>
            <w:tcW w:w="1341" w:type="dxa"/>
            <w:vAlign w:val="center"/>
          </w:tcPr>
          <w:p>
            <w:pPr>
              <w:keepNext w:val="0"/>
              <w:keepLines w:val="0"/>
              <w:widowControl/>
              <w:suppressLineNumbers w:val="0"/>
              <w:spacing w:before="0" w:beforeAutospacing="0" w:after="0" w:afterAutospacing="0"/>
              <w:ind w:left="0" w:right="0"/>
              <w:rPr>
                <w:rStyle w:val="26"/>
                <w:rFonts w:hint="default" w:ascii="仿宋_GB2312" w:hAnsi="黑体" w:eastAsia="仿宋_GB2312" w:cs="黑体"/>
                <w:bCs/>
              </w:rPr>
            </w:pPr>
            <w:r>
              <w:rPr>
                <w:rStyle w:val="26"/>
                <w:rFonts w:hint="eastAsia" w:ascii="仿宋_GB2312" w:hAnsi="黑体" w:eastAsia="仿宋_GB2312" w:cs="黑体"/>
                <w:bCs/>
              </w:rPr>
              <w:t>2</w:t>
            </w:r>
            <w:r>
              <w:rPr>
                <w:rStyle w:val="26"/>
                <w:rFonts w:hint="default" w:ascii="仿宋_GB2312" w:hAnsi="黑体" w:eastAsia="仿宋_GB2312" w:cs="黑体"/>
                <w:bCs/>
              </w:rPr>
              <w:t>023.12</w:t>
            </w:r>
          </w:p>
        </w:tc>
        <w:tc>
          <w:tcPr>
            <w:tcW w:w="2693"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default" w:ascii="仿宋_GB2312" w:hAnsi="黑体" w:eastAsia="仿宋_GB2312" w:cs="黑体"/>
                <w:bCs/>
              </w:rPr>
              <w:t>《审计文摘》人大复印转载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4</w:t>
            </w:r>
          </w:p>
        </w:tc>
        <w:tc>
          <w:tcPr>
            <w:tcW w:w="1907"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default" w:ascii="仿宋_GB2312" w:hAnsi="黑体" w:eastAsia="仿宋_GB2312" w:cs="黑体"/>
                <w:bCs/>
              </w:rPr>
              <w:t>文旅融合背景下红色旅游重点县域全域旅游发展实证研究</w:t>
            </w:r>
          </w:p>
        </w:tc>
        <w:tc>
          <w:tcPr>
            <w:tcW w:w="1572"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default" w:ascii="仿宋_GB2312" w:hAnsi="黑体" w:eastAsia="仿宋_GB2312" w:cs="黑体"/>
                <w:bCs/>
              </w:rPr>
              <w:t>彭燕</w:t>
            </w:r>
          </w:p>
        </w:tc>
        <w:tc>
          <w:tcPr>
            <w:tcW w:w="1341"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2023.06</w:t>
            </w:r>
          </w:p>
        </w:tc>
        <w:tc>
          <w:tcPr>
            <w:tcW w:w="2693"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default" w:ascii="仿宋_GB2312" w:hAnsi="黑体" w:eastAsia="仿宋_GB2312" w:cs="黑体"/>
                <w:bCs/>
              </w:rPr>
              <w:t>企业经济,2023,42(06):88-97.（北大核心）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5</w:t>
            </w:r>
          </w:p>
        </w:tc>
        <w:tc>
          <w:tcPr>
            <w:tcW w:w="1907"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流动空间视角下乡村公共文化服务融合创新研究</w:t>
            </w:r>
          </w:p>
        </w:tc>
        <w:tc>
          <w:tcPr>
            <w:tcW w:w="1572"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刘传喜</w:t>
            </w:r>
          </w:p>
        </w:tc>
        <w:tc>
          <w:tcPr>
            <w:tcW w:w="1341"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2023.08</w:t>
            </w:r>
          </w:p>
        </w:tc>
        <w:tc>
          <w:tcPr>
            <w:tcW w:w="2693"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长白学刊,2023(04):149-156.（北大核心）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6</w:t>
            </w:r>
          </w:p>
        </w:tc>
        <w:tc>
          <w:tcPr>
            <w:tcW w:w="1907"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注册制改革背景下科创板IPO审核问询与股价同步性</w:t>
            </w:r>
          </w:p>
        </w:tc>
        <w:tc>
          <w:tcPr>
            <w:tcW w:w="1572"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张雷云</w:t>
            </w:r>
          </w:p>
        </w:tc>
        <w:tc>
          <w:tcPr>
            <w:tcW w:w="1341"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2</w:t>
            </w:r>
            <w:r>
              <w:rPr>
                <w:rStyle w:val="26"/>
                <w:rFonts w:hint="default" w:ascii="仿宋_GB2312" w:hAnsi="黑体" w:eastAsia="仿宋_GB2312" w:cs="黑体"/>
                <w:bCs/>
              </w:rPr>
              <w:t>02308</w:t>
            </w:r>
          </w:p>
        </w:tc>
        <w:tc>
          <w:tcPr>
            <w:tcW w:w="2693"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金融理论与实践（北大核心）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7</w:t>
            </w:r>
          </w:p>
        </w:tc>
        <w:tc>
          <w:tcPr>
            <w:tcW w:w="1907"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中职学校教学高质量发展：特征、困境与对策</w:t>
            </w:r>
          </w:p>
        </w:tc>
        <w:tc>
          <w:tcPr>
            <w:tcW w:w="1572"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黄敏</w:t>
            </w:r>
          </w:p>
        </w:tc>
        <w:tc>
          <w:tcPr>
            <w:tcW w:w="1341"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2</w:t>
            </w:r>
            <w:r>
              <w:rPr>
                <w:rStyle w:val="26"/>
                <w:rFonts w:hint="default" w:ascii="仿宋_GB2312" w:hAnsi="黑体" w:eastAsia="仿宋_GB2312" w:cs="黑体"/>
                <w:bCs/>
              </w:rPr>
              <w:t>02303</w:t>
            </w:r>
          </w:p>
        </w:tc>
        <w:tc>
          <w:tcPr>
            <w:tcW w:w="2693"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职业技术教育（北大核心）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704"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8</w:t>
            </w:r>
          </w:p>
        </w:tc>
        <w:tc>
          <w:tcPr>
            <w:tcW w:w="1907"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以案例行动学习法驱动MBA隐性知识习得</w:t>
            </w:r>
          </w:p>
        </w:tc>
        <w:tc>
          <w:tcPr>
            <w:tcW w:w="1572"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曾颢</w:t>
            </w:r>
          </w:p>
        </w:tc>
        <w:tc>
          <w:tcPr>
            <w:tcW w:w="1341"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2</w:t>
            </w:r>
            <w:r>
              <w:rPr>
                <w:rStyle w:val="26"/>
                <w:rFonts w:hint="default" w:ascii="仿宋_GB2312" w:hAnsi="黑体" w:eastAsia="仿宋_GB2312" w:cs="黑体"/>
                <w:bCs/>
              </w:rPr>
              <w:t>02306</w:t>
            </w:r>
          </w:p>
        </w:tc>
        <w:tc>
          <w:tcPr>
            <w:tcW w:w="2693" w:type="dxa"/>
            <w:vAlign w:val="center"/>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rPr>
            </w:pPr>
            <w:r>
              <w:rPr>
                <w:rStyle w:val="26"/>
                <w:rFonts w:hint="eastAsia" w:ascii="仿宋_GB2312" w:hAnsi="黑体" w:eastAsia="仿宋_GB2312" w:cs="黑体"/>
                <w:bCs/>
              </w:rPr>
              <w:t>管理案例研究与评论（北大核心）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9</w:t>
            </w:r>
          </w:p>
        </w:tc>
        <w:tc>
          <w:tcPr>
            <w:tcW w:w="1907" w:type="dxa"/>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sz w:val="21"/>
                <w:szCs w:val="21"/>
              </w:rPr>
            </w:pPr>
            <w:r>
              <w:rPr>
                <w:rStyle w:val="26"/>
                <w:rFonts w:hint="default" w:ascii="仿宋_GB2312" w:hAnsi="黑体" w:eastAsia="仿宋_GB2312" w:cs="黑体"/>
                <w:bCs/>
                <w:sz w:val="21"/>
                <w:szCs w:val="21"/>
              </w:rPr>
              <w:t>Research on the mutual aid mechanism of urban and rural power supply industry in Henan province under the goal of dual-carbon</w:t>
            </w:r>
          </w:p>
        </w:tc>
        <w:tc>
          <w:tcPr>
            <w:tcW w:w="1572" w:type="dxa"/>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sz w:val="21"/>
                <w:szCs w:val="21"/>
              </w:rPr>
            </w:pPr>
            <w:r>
              <w:rPr>
                <w:rStyle w:val="26"/>
                <w:rFonts w:hint="eastAsia" w:ascii="仿宋_GB2312" w:hAnsi="黑体" w:eastAsia="仿宋_GB2312" w:cs="黑体"/>
                <w:bCs/>
                <w:sz w:val="21"/>
                <w:szCs w:val="21"/>
              </w:rPr>
              <w:t>汤新发</w:t>
            </w:r>
          </w:p>
        </w:tc>
        <w:tc>
          <w:tcPr>
            <w:tcW w:w="1341" w:type="dxa"/>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sz w:val="21"/>
                <w:szCs w:val="21"/>
              </w:rPr>
            </w:pPr>
            <w:r>
              <w:rPr>
                <w:rStyle w:val="26"/>
                <w:rFonts w:hint="eastAsia" w:ascii="仿宋_GB2312" w:hAnsi="黑体" w:eastAsia="仿宋_GB2312" w:cs="黑体"/>
                <w:bCs/>
                <w:sz w:val="21"/>
                <w:szCs w:val="21"/>
              </w:rPr>
              <w:t>2</w:t>
            </w:r>
            <w:r>
              <w:rPr>
                <w:rStyle w:val="26"/>
                <w:rFonts w:hint="default" w:ascii="仿宋_GB2312" w:hAnsi="黑体" w:eastAsia="仿宋_GB2312" w:cs="黑体"/>
                <w:bCs/>
                <w:sz w:val="21"/>
                <w:szCs w:val="21"/>
              </w:rPr>
              <w:t>023</w:t>
            </w:r>
          </w:p>
        </w:tc>
        <w:tc>
          <w:tcPr>
            <w:tcW w:w="2693" w:type="dxa"/>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sz w:val="21"/>
                <w:szCs w:val="21"/>
              </w:rPr>
            </w:pPr>
            <w:r>
              <w:rPr>
                <w:rStyle w:val="26"/>
                <w:rFonts w:hint="default" w:ascii="仿宋_GB2312" w:hAnsi="黑体" w:eastAsia="仿宋_GB2312" w:cs="黑体"/>
                <w:bCs/>
                <w:sz w:val="21"/>
                <w:szCs w:val="21"/>
              </w:rPr>
              <w:t>Front. Enviro11:1158502. doi: 10.3389/fenvs.2023.1158502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widowControl/>
              <w:suppressLineNumbers w:val="0"/>
              <w:spacing w:before="0" w:beforeAutospacing="0" w:after="0" w:afterAutospacing="0"/>
              <w:ind w:left="0" w:right="0"/>
              <w:jc w:val="center"/>
              <w:rPr>
                <w:rFonts w:hint="default"/>
                <w:sz w:val="15"/>
                <w:szCs w:val="15"/>
              </w:rPr>
            </w:pPr>
            <w:r>
              <w:rPr>
                <w:rFonts w:hint="eastAsia"/>
                <w:sz w:val="15"/>
                <w:szCs w:val="15"/>
              </w:rPr>
              <w:t>10</w:t>
            </w:r>
          </w:p>
        </w:tc>
        <w:tc>
          <w:tcPr>
            <w:tcW w:w="1907" w:type="dxa"/>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sz w:val="21"/>
                <w:szCs w:val="21"/>
              </w:rPr>
            </w:pPr>
            <w:r>
              <w:rPr>
                <w:rStyle w:val="26"/>
                <w:rFonts w:hint="default" w:ascii="仿宋_GB2312" w:hAnsi="黑体" w:eastAsia="仿宋_GB2312" w:cs="黑体"/>
                <w:bCs/>
                <w:sz w:val="21"/>
                <w:szCs w:val="21"/>
              </w:rPr>
              <w:t>Research on the promotion of digital teaching and learning to the goal of dual-carbon</w:t>
            </w:r>
          </w:p>
        </w:tc>
        <w:tc>
          <w:tcPr>
            <w:tcW w:w="1572" w:type="dxa"/>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sz w:val="21"/>
                <w:szCs w:val="21"/>
              </w:rPr>
            </w:pPr>
            <w:r>
              <w:rPr>
                <w:rStyle w:val="26"/>
                <w:rFonts w:hint="eastAsia" w:ascii="仿宋_GB2312" w:hAnsi="黑体" w:eastAsia="仿宋_GB2312" w:cs="黑体"/>
                <w:bCs/>
                <w:sz w:val="21"/>
                <w:szCs w:val="21"/>
              </w:rPr>
              <w:t>汤新发</w:t>
            </w:r>
          </w:p>
        </w:tc>
        <w:tc>
          <w:tcPr>
            <w:tcW w:w="1341" w:type="dxa"/>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sz w:val="21"/>
                <w:szCs w:val="21"/>
              </w:rPr>
            </w:pPr>
            <w:r>
              <w:rPr>
                <w:rStyle w:val="26"/>
                <w:rFonts w:hint="eastAsia" w:ascii="仿宋_GB2312" w:hAnsi="黑体" w:eastAsia="仿宋_GB2312" w:cs="黑体"/>
                <w:bCs/>
                <w:sz w:val="21"/>
                <w:szCs w:val="21"/>
              </w:rPr>
              <w:t>2</w:t>
            </w:r>
            <w:r>
              <w:rPr>
                <w:rStyle w:val="26"/>
                <w:rFonts w:hint="default" w:ascii="仿宋_GB2312" w:hAnsi="黑体" w:eastAsia="仿宋_GB2312" w:cs="黑体"/>
                <w:bCs/>
                <w:sz w:val="21"/>
                <w:szCs w:val="21"/>
              </w:rPr>
              <w:t>023</w:t>
            </w:r>
          </w:p>
        </w:tc>
        <w:tc>
          <w:tcPr>
            <w:tcW w:w="2693" w:type="dxa"/>
          </w:tcPr>
          <w:p>
            <w:pPr>
              <w:keepNext w:val="0"/>
              <w:keepLines w:val="0"/>
              <w:widowControl/>
              <w:suppressLineNumbers w:val="0"/>
              <w:spacing w:before="0" w:beforeAutospacing="0" w:after="0" w:afterAutospacing="0"/>
              <w:ind w:left="0" w:right="0"/>
              <w:jc w:val="left"/>
              <w:rPr>
                <w:rStyle w:val="26"/>
                <w:rFonts w:hint="default" w:ascii="仿宋_GB2312" w:hAnsi="黑体" w:eastAsia="仿宋_GB2312" w:cs="黑体"/>
                <w:bCs/>
                <w:sz w:val="21"/>
                <w:szCs w:val="21"/>
              </w:rPr>
            </w:pPr>
            <w:r>
              <w:rPr>
                <w:rStyle w:val="26"/>
                <w:rFonts w:hint="default" w:ascii="仿宋_GB2312" w:hAnsi="黑体" w:eastAsia="仿宋_GB2312" w:cs="黑体"/>
                <w:bCs/>
                <w:sz w:val="21"/>
                <w:szCs w:val="21"/>
              </w:rPr>
              <w:t>Frontiers in Environmental Science11: 983526. doi:10.3389/fenvs.2023.983526.</w:t>
            </w:r>
          </w:p>
        </w:tc>
      </w:tr>
    </w:tbl>
    <w:p>
      <w:pPr>
        <w:pStyle w:val="3"/>
        <w:spacing w:line="300" w:lineRule="auto"/>
        <w:ind w:left="640" w:hanging="640" w:hangingChars="200"/>
        <w:rPr>
          <w:sz w:val="28"/>
          <w:szCs w:val="28"/>
        </w:rPr>
      </w:pPr>
      <w:r>
        <w:rPr>
          <w:rFonts w:hint="eastAsia"/>
        </w:rPr>
        <w:t>（</w:t>
      </w:r>
      <w:r>
        <w:rPr>
          <w:sz w:val="28"/>
          <w:szCs w:val="28"/>
        </w:rPr>
        <w:t>4</w:t>
      </w:r>
      <w:r>
        <w:rPr>
          <w:rFonts w:hint="eastAsia"/>
          <w:sz w:val="28"/>
          <w:szCs w:val="28"/>
        </w:rPr>
        <w:t>）</w:t>
      </w:r>
      <w:r>
        <w:rPr>
          <w:sz w:val="28"/>
          <w:szCs w:val="28"/>
        </w:rPr>
        <w:t>教学科研支持</w:t>
      </w:r>
      <w:bookmarkEnd w:id="5"/>
      <w:bookmarkEnd w:id="6"/>
    </w:p>
    <w:p>
      <w:pPr>
        <w:pStyle w:val="10"/>
        <w:widowControl/>
        <w:spacing w:beforeAutospacing="0" w:afterAutospacing="0" w:line="360" w:lineRule="auto"/>
        <w:ind w:firstLine="560" w:firstLineChars="200"/>
        <w:jc w:val="both"/>
        <w:rPr>
          <w:rStyle w:val="26"/>
          <w:rFonts w:ascii="仿宋_GB2312" w:hAnsi="黑体" w:eastAsia="仿宋_GB2312" w:cs="黑体"/>
          <w:bCs/>
          <w:sz w:val="28"/>
          <w:szCs w:val="28"/>
        </w:rPr>
      </w:pPr>
      <w:r>
        <w:rPr>
          <w:rStyle w:val="26"/>
          <w:rFonts w:hint="eastAsia" w:ascii="仿宋_GB2312" w:hAnsi="黑体" w:eastAsia="仿宋_GB2312" w:cs="黑体"/>
          <w:bCs/>
          <w:sz w:val="28"/>
          <w:szCs w:val="28"/>
        </w:rPr>
        <w:t>本学位点拥有三大学科平台：（1）建设有“一基地三中心”的科研平台——江西省生态文明与可持续发展战略软科学研究基地，数字化社会与地方文化发展研究中心（江西省高校人文社科重点研究基地），江西职业教育与产业发展研究中心，江西省乡村旅游发展研究中心 ；（2）拥有两个科研创新团队：“生态文明与城镇化发展战略研究” 科研创新团队（江西高校哲学社科高水平创新团队）、组织绩效与政策研究创新团队 ；（3）搭建了海峡两岸学术研讨会等多个学术会议平台。</w:t>
      </w:r>
    </w:p>
    <w:p>
      <w:pPr>
        <w:pStyle w:val="10"/>
        <w:widowControl/>
        <w:spacing w:beforeAutospacing="0" w:afterAutospacing="0" w:line="360" w:lineRule="auto"/>
        <w:ind w:firstLine="560" w:firstLineChars="200"/>
        <w:jc w:val="both"/>
        <w:rPr>
          <w:rStyle w:val="26"/>
          <w:rFonts w:ascii="仿宋_GB2312" w:hAnsi="黑体" w:eastAsia="仿宋_GB2312" w:cs="黑体"/>
          <w:bCs/>
          <w:sz w:val="28"/>
          <w:szCs w:val="28"/>
        </w:rPr>
      </w:pPr>
      <w:r>
        <w:rPr>
          <w:rStyle w:val="26"/>
          <w:rFonts w:hint="eastAsia" w:ascii="仿宋_GB2312" w:hAnsi="黑体" w:eastAsia="仿宋_GB2312" w:cs="黑体"/>
          <w:bCs/>
          <w:sz w:val="28"/>
          <w:szCs w:val="28"/>
        </w:rPr>
        <w:t>本学位点所在各学院共享1260平米实验室和180平米研究生专项教室，购入电脑、软件等设备250.3万元，拥有中国知网CNK、维普中文科技期刊等33个电子资料平台，353种期刊和2.51万册图书。</w:t>
      </w:r>
    </w:p>
    <w:p>
      <w:pPr>
        <w:widowControl/>
        <w:spacing w:line="560" w:lineRule="exact"/>
        <w:ind w:firstLine="643" w:firstLineChars="200"/>
        <w:textAlignment w:val="baseline"/>
        <w:rPr>
          <w:rStyle w:val="26"/>
          <w:rFonts w:ascii="仿宋_GB2312" w:hAnsi="黑体" w:eastAsia="仿宋_GB2312" w:cs="黑体"/>
          <w:b/>
          <w:sz w:val="32"/>
          <w:szCs w:val="32"/>
        </w:rPr>
      </w:pPr>
      <w:r>
        <w:rPr>
          <w:rStyle w:val="26"/>
          <w:rFonts w:hint="eastAsia" w:ascii="仿宋_GB2312" w:hAnsi="黑体" w:eastAsia="仿宋_GB2312" w:cs="黑体"/>
          <w:b/>
          <w:sz w:val="32"/>
          <w:szCs w:val="32"/>
        </w:rPr>
        <w:t>（四）传承创新优秀文化</w:t>
      </w:r>
    </w:p>
    <w:p>
      <w:pPr>
        <w:widowControl/>
        <w:spacing w:line="560" w:lineRule="exact"/>
        <w:ind w:firstLine="562" w:firstLineChars="200"/>
        <w:textAlignment w:val="baseline"/>
        <w:rPr>
          <w:rStyle w:val="26"/>
          <w:rFonts w:ascii="仿宋_GB2312" w:hAnsi="??????" w:eastAsia="仿宋_GB2312" w:cs="??????"/>
          <w:szCs w:val="32"/>
        </w:rPr>
      </w:pPr>
      <w:r>
        <w:rPr>
          <w:rStyle w:val="26"/>
          <w:rFonts w:ascii="仿宋_GB2312" w:hAnsi="方正仿宋简体" w:eastAsia="仿宋_GB2312" w:cs="方正仿宋简体"/>
          <w:b/>
          <w:bCs/>
          <w:sz w:val="28"/>
          <w:szCs w:val="28"/>
        </w:rPr>
        <w:t xml:space="preserve"> </w:t>
      </w:r>
      <w:r>
        <w:rPr>
          <w:rStyle w:val="26"/>
          <w:rFonts w:hint="eastAsia" w:ascii="仿宋_GB2312" w:hAnsi="黑体" w:eastAsia="仿宋_GB2312" w:cs="黑体"/>
          <w:bCs/>
          <w:sz w:val="28"/>
          <w:szCs w:val="28"/>
        </w:rPr>
        <w:t>钟家雨博士带领团队与莲花县合作，进行红色名村讲解词、精品党课开发及红色名村运营标准建设，通过与地方合作，传承创新优秀文化。</w:t>
      </w:r>
    </w:p>
    <w:p>
      <w:pPr>
        <w:widowControl/>
        <w:spacing w:line="560" w:lineRule="exact"/>
        <w:ind w:firstLine="643" w:firstLineChars="200"/>
        <w:textAlignment w:val="baseline"/>
        <w:rPr>
          <w:rStyle w:val="26"/>
          <w:rFonts w:ascii="仿宋_GB2312" w:hAnsi="黑体" w:eastAsia="仿宋_GB2312" w:cs="黑体"/>
          <w:b/>
          <w:sz w:val="32"/>
          <w:szCs w:val="32"/>
        </w:rPr>
      </w:pPr>
      <w:r>
        <w:rPr>
          <w:rStyle w:val="26"/>
          <w:rFonts w:hint="eastAsia" w:ascii="仿宋_GB2312" w:hAnsi="黑体" w:eastAsia="仿宋_GB2312" w:cs="黑体"/>
          <w:b/>
          <w:sz w:val="32"/>
          <w:szCs w:val="32"/>
        </w:rPr>
        <w:t>（五）国际合作交流</w:t>
      </w:r>
    </w:p>
    <w:p>
      <w:pPr>
        <w:widowControl/>
        <w:spacing w:line="560" w:lineRule="exact"/>
        <w:ind w:firstLine="562" w:firstLineChars="200"/>
        <w:textAlignment w:val="baseline"/>
        <w:rPr>
          <w:rStyle w:val="26"/>
          <w:rFonts w:ascii="仿宋_GB2312" w:hAnsi="黑体" w:eastAsia="仿宋_GB2312" w:cs="黑体"/>
          <w:bCs/>
          <w:sz w:val="28"/>
          <w:szCs w:val="28"/>
        </w:rPr>
      </w:pPr>
      <w:r>
        <w:rPr>
          <w:rStyle w:val="26"/>
          <w:rFonts w:ascii="仿宋_GB2312" w:hAnsi="方正仿宋简体" w:eastAsia="仿宋_GB2312" w:cs="方正仿宋简体"/>
          <w:b/>
          <w:bCs/>
          <w:sz w:val="28"/>
          <w:szCs w:val="28"/>
        </w:rPr>
        <w:t xml:space="preserve"> </w:t>
      </w:r>
      <w:r>
        <w:rPr>
          <w:rStyle w:val="26"/>
          <w:rFonts w:hint="eastAsia" w:ascii="仿宋_GB2312" w:hAnsi="黑体" w:eastAsia="仿宋_GB2312" w:cs="黑体"/>
          <w:bCs/>
          <w:sz w:val="28"/>
          <w:szCs w:val="28"/>
        </w:rPr>
        <w:t>一是积极推动学院的国际化合作办学，推动学校与波兰波茨南密兹凯维奇大学签订了谅解备忘录；二是积极推进学校与印度尼西亚巴厘旅游理工学院合作建设国际旅游汉语职业培训中心事宜，拓展学院国际化办学空间。</w:t>
      </w:r>
    </w:p>
    <w:p>
      <w:pPr>
        <w:widowControl/>
        <w:spacing w:line="560" w:lineRule="exact"/>
        <w:ind w:firstLine="643" w:firstLineChars="200"/>
        <w:textAlignment w:val="baseline"/>
        <w:rPr>
          <w:rStyle w:val="26"/>
          <w:rFonts w:ascii="仿宋_GB2312" w:hAnsi="黑体" w:eastAsia="仿宋_GB2312" w:cs="黑体"/>
          <w:b/>
          <w:color w:val="FF0000"/>
          <w:sz w:val="32"/>
          <w:szCs w:val="32"/>
        </w:rPr>
      </w:pPr>
      <w:r>
        <w:rPr>
          <w:rStyle w:val="26"/>
          <w:rFonts w:hint="eastAsia" w:ascii="仿宋_GB2312" w:hAnsi="黑体" w:eastAsia="仿宋_GB2312" w:cs="黑体"/>
          <w:b/>
          <w:color w:val="auto"/>
          <w:sz w:val="32"/>
          <w:szCs w:val="32"/>
        </w:rPr>
        <w:t>五、教育质量评估与分析</w:t>
      </w:r>
    </w:p>
    <w:p>
      <w:pPr>
        <w:widowControl/>
        <w:snapToGrid w:val="0"/>
        <w:spacing w:line="560" w:lineRule="exact"/>
        <w:ind w:firstLine="560" w:firstLineChars="200"/>
        <w:textAlignment w:val="baseline"/>
        <w:rPr>
          <w:rStyle w:val="26"/>
          <w:rFonts w:ascii="仿宋_GB2312" w:hAnsi="黑体" w:eastAsia="仿宋_GB2312" w:cs="黑体"/>
          <w:bCs/>
          <w:sz w:val="28"/>
          <w:szCs w:val="28"/>
        </w:rPr>
      </w:pPr>
      <w:r>
        <w:rPr>
          <w:rStyle w:val="26"/>
          <w:rFonts w:hint="eastAsia" w:ascii="仿宋_GB2312" w:hAnsi="黑体" w:eastAsia="仿宋_GB2312" w:cs="黑体"/>
          <w:bCs/>
          <w:sz w:val="28"/>
          <w:szCs w:val="28"/>
        </w:rPr>
        <w:t>1.</w:t>
      </w:r>
      <w:r>
        <w:rPr>
          <w:rFonts w:hint="eastAsia" w:ascii="宋体" w:hAnsi="宋体" w:eastAsia="宋体" w:cs="宋体"/>
          <w:b/>
          <w:sz w:val="28"/>
          <w:szCs w:val="28"/>
          <w:lang w:val="en-US" w:eastAsia="zh-CN"/>
        </w:rPr>
        <w:t>20</w:t>
      </w:r>
      <w:r>
        <w:rPr>
          <w:rFonts w:hint="eastAsia" w:ascii="宋体" w:hAnsi="宋体" w:eastAsia="宋体" w:cs="宋体"/>
          <w:b/>
          <w:sz w:val="28"/>
          <w:szCs w:val="28"/>
        </w:rPr>
        <w:t>级</w:t>
      </w:r>
      <w:r>
        <w:rPr>
          <w:rStyle w:val="26"/>
          <w:rFonts w:hint="eastAsia" w:ascii="宋体" w:hAnsi="宋体" w:eastAsia="宋体" w:cs="宋体"/>
          <w:b/>
          <w:sz w:val="28"/>
          <w:szCs w:val="28"/>
        </w:rPr>
        <w:t>研究生毕业情况</w:t>
      </w:r>
      <w:r>
        <w:rPr>
          <w:rStyle w:val="26"/>
          <w:rFonts w:hint="eastAsia" w:ascii="仿宋_GB2312" w:hAnsi="黑体" w:eastAsia="仿宋_GB2312" w:cs="黑体"/>
          <w:bCs/>
          <w:sz w:val="28"/>
          <w:szCs w:val="28"/>
        </w:rPr>
        <w:t>：202</w:t>
      </w:r>
      <w:r>
        <w:rPr>
          <w:rStyle w:val="26"/>
          <w:rFonts w:hint="eastAsia" w:ascii="仿宋_GB2312" w:hAnsi="黑体" w:eastAsia="仿宋_GB2312" w:cs="黑体"/>
          <w:bCs/>
          <w:sz w:val="28"/>
          <w:szCs w:val="28"/>
          <w:lang w:val="en-US"/>
        </w:rPr>
        <w:t>3</w:t>
      </w:r>
      <w:r>
        <w:rPr>
          <w:rStyle w:val="26"/>
          <w:rFonts w:hint="eastAsia" w:ascii="仿宋_GB2312" w:hAnsi="黑体" w:eastAsia="仿宋_GB2312" w:cs="黑体"/>
          <w:bCs/>
          <w:sz w:val="28"/>
          <w:szCs w:val="28"/>
        </w:rPr>
        <w:t>年6月，一级工商管理学科三个专业方向，有</w:t>
      </w:r>
      <w:r>
        <w:rPr>
          <w:rStyle w:val="26"/>
          <w:rFonts w:hint="eastAsia" w:ascii="仿宋_GB2312" w:hAnsi="黑体" w:eastAsia="仿宋_GB2312" w:cs="黑体"/>
          <w:bCs/>
          <w:sz w:val="28"/>
          <w:szCs w:val="28"/>
          <w:lang w:val="en-US"/>
        </w:rPr>
        <w:t>11</w:t>
      </w:r>
      <w:r>
        <w:rPr>
          <w:rStyle w:val="26"/>
          <w:rFonts w:hint="eastAsia" w:ascii="仿宋_GB2312" w:hAnsi="黑体" w:eastAsia="仿宋_GB2312" w:cs="黑体"/>
          <w:bCs/>
          <w:sz w:val="28"/>
          <w:szCs w:val="28"/>
        </w:rPr>
        <w:t>名</w:t>
      </w:r>
      <w:r>
        <w:rPr>
          <w:rStyle w:val="26"/>
          <w:rFonts w:hint="eastAsia" w:ascii="仿宋_GB2312" w:hAnsi="黑体" w:eastAsia="仿宋_GB2312" w:cs="黑体"/>
          <w:bCs/>
          <w:sz w:val="28"/>
          <w:szCs w:val="28"/>
          <w:lang w:val="en-US"/>
        </w:rPr>
        <w:t>20</w:t>
      </w:r>
      <w:r>
        <w:rPr>
          <w:rStyle w:val="26"/>
          <w:rFonts w:hint="eastAsia" w:ascii="仿宋_GB2312" w:hAnsi="黑体" w:eastAsia="仿宋_GB2312" w:cs="黑体"/>
          <w:bCs/>
          <w:sz w:val="28"/>
          <w:szCs w:val="28"/>
        </w:rPr>
        <w:t>级会计学、</w:t>
      </w:r>
      <w:r>
        <w:rPr>
          <w:rStyle w:val="26"/>
          <w:rFonts w:hint="eastAsia" w:ascii="仿宋_GB2312" w:hAnsi="黑体" w:eastAsia="仿宋_GB2312" w:cs="黑体"/>
          <w:bCs/>
          <w:sz w:val="28"/>
          <w:szCs w:val="28"/>
          <w:lang w:val="en-US"/>
        </w:rPr>
        <w:t>企业管理、旅游管理</w:t>
      </w:r>
      <w:r>
        <w:rPr>
          <w:rStyle w:val="26"/>
          <w:rFonts w:hint="eastAsia" w:ascii="仿宋_GB2312" w:hAnsi="黑体" w:eastAsia="仿宋_GB2312" w:cs="黑体"/>
          <w:bCs/>
          <w:sz w:val="28"/>
          <w:szCs w:val="28"/>
        </w:rPr>
        <w:t>专业研究生参加论文盲审和答辩，其论文盲审和答辩成绩良好，顺利毕业，均就业于事业单位、民办高校和企业。</w:t>
      </w:r>
    </w:p>
    <w:p>
      <w:pPr>
        <w:pStyle w:val="3"/>
        <w:ind w:firstLine="560"/>
        <w:rPr>
          <w:rStyle w:val="26"/>
          <w:rFonts w:ascii="仿宋_GB2312" w:eastAsia="仿宋_GB2312" w:cs="黑体"/>
          <w:bCs/>
          <w:sz w:val="28"/>
          <w:szCs w:val="28"/>
        </w:rPr>
      </w:pPr>
      <w:r>
        <w:rPr>
          <w:rFonts w:hint="eastAsia"/>
          <w:bCs/>
          <w:sz w:val="28"/>
          <w:szCs w:val="28"/>
        </w:rPr>
        <w:t>2.</w:t>
      </w:r>
      <w:r>
        <w:rPr>
          <w:rFonts w:hint="eastAsia" w:ascii="宋体" w:hAnsi="宋体" w:eastAsia="宋体" w:cs="宋体"/>
          <w:b/>
          <w:sz w:val="28"/>
          <w:szCs w:val="28"/>
          <w:lang w:val="en-US" w:eastAsia="zh-CN"/>
        </w:rPr>
        <w:t>21</w:t>
      </w:r>
      <w:r>
        <w:rPr>
          <w:rFonts w:hint="eastAsia" w:ascii="宋体" w:hAnsi="宋体" w:eastAsia="宋体" w:cs="宋体"/>
          <w:b/>
          <w:sz w:val="28"/>
          <w:szCs w:val="28"/>
        </w:rPr>
        <w:t>级</w:t>
      </w:r>
      <w:r>
        <w:rPr>
          <w:rStyle w:val="26"/>
          <w:rFonts w:hint="eastAsia" w:ascii="宋体" w:hAnsi="宋体" w:eastAsia="宋体" w:cs="宋体"/>
          <w:b/>
          <w:sz w:val="28"/>
          <w:szCs w:val="28"/>
        </w:rPr>
        <w:t>研究生论文中期检查情况</w:t>
      </w:r>
      <w:r>
        <w:rPr>
          <w:rStyle w:val="26"/>
          <w:rFonts w:hint="eastAsia" w:ascii="仿宋_GB2312" w:eastAsia="仿宋_GB2312" w:cs="黑体"/>
          <w:bCs/>
          <w:sz w:val="28"/>
          <w:szCs w:val="28"/>
        </w:rPr>
        <w:t>：</w:t>
      </w:r>
      <w:r>
        <w:rPr>
          <w:rStyle w:val="26"/>
          <w:rFonts w:hint="eastAsia" w:ascii="仿宋_GB2312" w:hAnsi="黑体" w:eastAsia="仿宋_GB2312" w:cs="黑体"/>
          <w:bCs/>
          <w:sz w:val="28"/>
          <w:szCs w:val="28"/>
        </w:rPr>
        <w:t>202</w:t>
      </w:r>
      <w:r>
        <w:rPr>
          <w:rStyle w:val="26"/>
          <w:rFonts w:hint="eastAsia" w:ascii="仿宋_GB2312" w:eastAsia="仿宋_GB2312" w:cs="黑体"/>
          <w:bCs/>
          <w:sz w:val="28"/>
          <w:szCs w:val="28"/>
          <w:lang w:val="en-US"/>
        </w:rPr>
        <w:t>3</w:t>
      </w:r>
      <w:r>
        <w:rPr>
          <w:rStyle w:val="26"/>
          <w:rFonts w:hint="eastAsia" w:ascii="仿宋_GB2312" w:hAnsi="黑体" w:eastAsia="仿宋_GB2312" w:cs="黑体"/>
          <w:bCs/>
          <w:sz w:val="28"/>
          <w:szCs w:val="28"/>
        </w:rPr>
        <w:t>年11月，对</w:t>
      </w:r>
      <w:r>
        <w:rPr>
          <w:rStyle w:val="26"/>
          <w:rFonts w:hint="eastAsia" w:ascii="仿宋_GB2312" w:eastAsia="仿宋_GB2312" w:cs="黑体"/>
          <w:bCs/>
          <w:sz w:val="28"/>
          <w:szCs w:val="28"/>
          <w:lang w:val="en-US"/>
        </w:rPr>
        <w:t>21</w:t>
      </w:r>
      <w:r>
        <w:rPr>
          <w:rStyle w:val="26"/>
          <w:rFonts w:hint="eastAsia" w:ascii="仿宋_GB2312" w:hAnsi="黑体" w:eastAsia="仿宋_GB2312" w:cs="黑体"/>
          <w:bCs/>
          <w:sz w:val="28"/>
          <w:szCs w:val="28"/>
        </w:rPr>
        <w:t>级会计学、企业管理和旅游管理共</w:t>
      </w:r>
      <w:r>
        <w:rPr>
          <w:rStyle w:val="26"/>
          <w:rFonts w:hint="eastAsia" w:ascii="仿宋_GB2312" w:eastAsia="仿宋_GB2312" w:cs="黑体"/>
          <w:bCs/>
          <w:sz w:val="28"/>
          <w:szCs w:val="28"/>
          <w:lang w:val="en-US"/>
        </w:rPr>
        <w:t>8</w:t>
      </w:r>
      <w:r>
        <w:rPr>
          <w:rStyle w:val="26"/>
          <w:rFonts w:hint="eastAsia" w:ascii="仿宋_GB2312" w:hAnsi="黑体" w:eastAsia="仿宋_GB2312" w:cs="黑体"/>
          <w:bCs/>
          <w:sz w:val="28"/>
          <w:szCs w:val="28"/>
        </w:rPr>
        <w:t>名研究生的学分完成情况和论文写作情况进行了专门的检查和考核。</w:t>
      </w:r>
      <w:r>
        <w:rPr>
          <w:rStyle w:val="26"/>
          <w:rFonts w:hint="eastAsia" w:ascii="仿宋_GB2312" w:eastAsia="仿宋_GB2312" w:cs="黑体"/>
          <w:bCs/>
          <w:sz w:val="28"/>
          <w:szCs w:val="28"/>
          <w:lang w:val="en-US"/>
        </w:rPr>
        <w:t>8</w:t>
      </w:r>
      <w:r>
        <w:rPr>
          <w:rStyle w:val="26"/>
          <w:rFonts w:hint="eastAsia" w:ascii="仿宋_GB2312" w:eastAsia="仿宋_GB2312" w:cs="黑体"/>
          <w:bCs/>
          <w:sz w:val="28"/>
          <w:szCs w:val="28"/>
        </w:rPr>
        <w:t>名研究生的学分均完成得比较好，而论文写作内容大多数存在问题，主要表现为论文写作不够规范、水平不够高、缺乏应用价值。</w:t>
      </w:r>
    </w:p>
    <w:p>
      <w:pPr>
        <w:pStyle w:val="3"/>
        <w:ind w:firstLine="560"/>
        <w:rPr>
          <w:bCs/>
          <w:sz w:val="28"/>
          <w:szCs w:val="28"/>
        </w:rPr>
      </w:pPr>
      <w:r>
        <w:rPr>
          <w:rFonts w:hint="eastAsia"/>
          <w:bCs/>
          <w:sz w:val="28"/>
          <w:szCs w:val="28"/>
        </w:rPr>
        <w:t>3.</w:t>
      </w:r>
      <w:r>
        <w:rPr>
          <w:rFonts w:hint="eastAsia" w:ascii="宋体" w:hAnsi="宋体" w:eastAsia="宋体" w:cs="宋体"/>
          <w:b/>
          <w:sz w:val="28"/>
          <w:szCs w:val="28"/>
        </w:rPr>
        <w:t>2</w:t>
      </w:r>
      <w:r>
        <w:rPr>
          <w:rFonts w:hint="eastAsia" w:ascii="宋体" w:hAnsi="宋体" w:eastAsia="宋体" w:cs="宋体"/>
          <w:b/>
          <w:sz w:val="28"/>
          <w:szCs w:val="28"/>
          <w:lang w:val="en-US" w:eastAsia="zh-CN"/>
        </w:rPr>
        <w:t>2</w:t>
      </w:r>
      <w:r>
        <w:rPr>
          <w:rFonts w:hint="eastAsia" w:ascii="宋体" w:hAnsi="宋体" w:eastAsia="宋体" w:cs="宋体"/>
          <w:b/>
          <w:sz w:val="28"/>
          <w:szCs w:val="28"/>
        </w:rPr>
        <w:t>级</w:t>
      </w:r>
      <w:r>
        <w:rPr>
          <w:rStyle w:val="26"/>
          <w:rFonts w:hint="eastAsia" w:ascii="宋体" w:hAnsi="宋体" w:eastAsia="宋体" w:cs="宋体"/>
          <w:b/>
          <w:sz w:val="28"/>
          <w:szCs w:val="28"/>
        </w:rPr>
        <w:t>研究生论文开题情况</w:t>
      </w:r>
      <w:r>
        <w:rPr>
          <w:rStyle w:val="26"/>
          <w:rFonts w:hint="eastAsia" w:ascii="仿宋_GB2312" w:eastAsia="仿宋_GB2312" w:cs="黑体"/>
          <w:bCs/>
          <w:sz w:val="28"/>
          <w:szCs w:val="28"/>
        </w:rPr>
        <w:t>：</w:t>
      </w:r>
      <w:r>
        <w:rPr>
          <w:rStyle w:val="26"/>
          <w:rFonts w:hint="eastAsia" w:ascii="仿宋_GB2312" w:hAnsi="黑体" w:eastAsia="仿宋_GB2312" w:cs="黑体"/>
          <w:bCs/>
          <w:sz w:val="28"/>
          <w:szCs w:val="28"/>
        </w:rPr>
        <w:t>202</w:t>
      </w:r>
      <w:r>
        <w:rPr>
          <w:rStyle w:val="26"/>
          <w:rFonts w:hint="eastAsia" w:ascii="仿宋_GB2312" w:eastAsia="仿宋_GB2312" w:cs="黑体"/>
          <w:bCs/>
          <w:sz w:val="28"/>
          <w:szCs w:val="28"/>
          <w:lang w:val="en-US"/>
        </w:rPr>
        <w:t>3</w:t>
      </w:r>
      <w:r>
        <w:rPr>
          <w:rStyle w:val="26"/>
          <w:rFonts w:hint="eastAsia" w:ascii="仿宋_GB2312" w:hAnsi="黑体" w:eastAsia="仿宋_GB2312" w:cs="黑体"/>
          <w:bCs/>
          <w:sz w:val="28"/>
          <w:szCs w:val="28"/>
        </w:rPr>
        <w:t>年11月</w:t>
      </w:r>
      <w:r>
        <w:rPr>
          <w:rStyle w:val="26"/>
          <w:rFonts w:hint="eastAsia" w:ascii="仿宋_GB2312" w:eastAsia="仿宋_GB2312" w:cs="黑体"/>
          <w:bCs/>
          <w:sz w:val="28"/>
          <w:szCs w:val="28"/>
        </w:rPr>
        <w:t>，2</w:t>
      </w:r>
      <w:r>
        <w:rPr>
          <w:rStyle w:val="26"/>
          <w:rFonts w:hint="eastAsia" w:ascii="仿宋_GB2312" w:eastAsia="仿宋_GB2312" w:cs="黑体"/>
          <w:bCs/>
          <w:sz w:val="28"/>
          <w:szCs w:val="28"/>
          <w:lang w:val="en-US"/>
        </w:rPr>
        <w:t>2</w:t>
      </w:r>
      <w:r>
        <w:rPr>
          <w:rStyle w:val="26"/>
          <w:rFonts w:hint="eastAsia" w:ascii="仿宋_GB2312" w:hAnsi="黑体" w:eastAsia="仿宋_GB2312" w:cs="黑体"/>
          <w:bCs/>
          <w:sz w:val="28"/>
          <w:szCs w:val="28"/>
        </w:rPr>
        <w:t>级会计学、企业管理和旅游管理共</w:t>
      </w:r>
      <w:r>
        <w:rPr>
          <w:rStyle w:val="26"/>
          <w:rFonts w:hint="eastAsia" w:ascii="仿宋_GB2312" w:eastAsia="仿宋_GB2312" w:cs="黑体"/>
          <w:bCs/>
          <w:sz w:val="28"/>
          <w:szCs w:val="28"/>
          <w:lang w:val="en-US"/>
        </w:rPr>
        <w:t>8</w:t>
      </w:r>
      <w:r>
        <w:rPr>
          <w:rStyle w:val="26"/>
          <w:rFonts w:hint="eastAsia" w:ascii="仿宋_GB2312" w:hAnsi="黑体" w:eastAsia="仿宋_GB2312" w:cs="黑体"/>
          <w:bCs/>
          <w:sz w:val="28"/>
          <w:szCs w:val="28"/>
        </w:rPr>
        <w:t>名研究生</w:t>
      </w:r>
      <w:r>
        <w:rPr>
          <w:rStyle w:val="26"/>
          <w:rFonts w:hint="eastAsia" w:ascii="仿宋_GB2312" w:eastAsia="仿宋_GB2312" w:cs="黑体"/>
          <w:bCs/>
          <w:sz w:val="28"/>
          <w:szCs w:val="28"/>
        </w:rPr>
        <w:t>举行了毕业论文开题。大多数研究生的选题和写作提纲都存在较大问题。这些问题主要有：选题不够新颖和缺乏实践意义，写作形式上大多为实证证明假设，写作提纲雷同率较高。</w:t>
      </w:r>
    </w:p>
    <w:p>
      <w:pPr>
        <w:pStyle w:val="3"/>
        <w:ind w:firstLine="560"/>
        <w:rPr>
          <w:rStyle w:val="26"/>
          <w:rFonts w:ascii="仿宋_GB2312" w:hAnsi="黑体" w:eastAsia="仿宋_GB2312" w:cs="黑体"/>
          <w:b/>
          <w:sz w:val="28"/>
          <w:szCs w:val="28"/>
        </w:rPr>
      </w:pPr>
      <w:r>
        <w:rPr>
          <w:rFonts w:hint="eastAsia"/>
          <w:bCs/>
          <w:sz w:val="28"/>
          <w:szCs w:val="28"/>
        </w:rPr>
        <w:t>4.</w:t>
      </w:r>
      <w:r>
        <w:rPr>
          <w:rFonts w:hint="eastAsia" w:ascii="宋体" w:hAnsi="宋体" w:eastAsia="宋体" w:cs="宋体"/>
          <w:b/>
          <w:sz w:val="28"/>
          <w:szCs w:val="28"/>
        </w:rPr>
        <w:t>2</w:t>
      </w:r>
      <w:r>
        <w:rPr>
          <w:rFonts w:hint="eastAsia" w:ascii="宋体" w:hAnsi="宋体" w:eastAsia="宋体" w:cs="宋体"/>
          <w:b/>
          <w:sz w:val="28"/>
          <w:szCs w:val="28"/>
          <w:lang w:val="en-US" w:eastAsia="zh-CN"/>
        </w:rPr>
        <w:t>3</w:t>
      </w:r>
      <w:r>
        <w:rPr>
          <w:rFonts w:hint="eastAsia" w:ascii="宋体" w:hAnsi="宋体" w:eastAsia="宋体" w:cs="宋体"/>
          <w:b/>
          <w:sz w:val="28"/>
          <w:szCs w:val="28"/>
        </w:rPr>
        <w:t>级</w:t>
      </w:r>
      <w:r>
        <w:rPr>
          <w:rStyle w:val="26"/>
          <w:rFonts w:hint="eastAsia" w:ascii="宋体" w:hAnsi="宋体" w:eastAsia="宋体" w:cs="宋体"/>
          <w:b/>
          <w:sz w:val="28"/>
          <w:szCs w:val="28"/>
        </w:rPr>
        <w:t>研究生招生情况</w:t>
      </w:r>
      <w:r>
        <w:rPr>
          <w:rStyle w:val="26"/>
          <w:rFonts w:hint="eastAsia" w:ascii="仿宋_GB2312" w:eastAsia="仿宋_GB2312" w:cs="黑体"/>
          <w:bCs/>
          <w:sz w:val="28"/>
          <w:szCs w:val="28"/>
        </w:rPr>
        <w:t>：202</w:t>
      </w:r>
      <w:r>
        <w:rPr>
          <w:rStyle w:val="26"/>
          <w:rFonts w:hint="eastAsia" w:ascii="仿宋_GB2312" w:eastAsia="仿宋_GB2312" w:cs="黑体"/>
          <w:bCs/>
          <w:sz w:val="28"/>
          <w:szCs w:val="28"/>
          <w:lang w:val="en-US"/>
        </w:rPr>
        <w:t>3</w:t>
      </w:r>
      <w:r>
        <w:rPr>
          <w:rStyle w:val="26"/>
          <w:rFonts w:hint="eastAsia" w:ascii="仿宋_GB2312" w:eastAsia="仿宋_GB2312" w:cs="黑体"/>
          <w:bCs/>
          <w:sz w:val="28"/>
          <w:szCs w:val="28"/>
        </w:rPr>
        <w:t>年</w:t>
      </w:r>
      <w:r>
        <w:rPr>
          <w:rStyle w:val="26"/>
          <w:rFonts w:hint="eastAsia" w:ascii="仿宋_GB2312" w:hAnsi="黑体" w:eastAsia="仿宋_GB2312" w:cs="黑体"/>
          <w:bCs/>
          <w:sz w:val="28"/>
          <w:szCs w:val="28"/>
        </w:rPr>
        <w:t>会计学</w:t>
      </w:r>
      <w:r>
        <w:rPr>
          <w:rStyle w:val="26"/>
          <w:rFonts w:hint="eastAsia" w:ascii="仿宋_GB2312" w:eastAsia="仿宋_GB2312" w:cs="黑体"/>
          <w:bCs/>
          <w:sz w:val="28"/>
          <w:szCs w:val="28"/>
        </w:rPr>
        <w:t>招有</w:t>
      </w:r>
      <w:r>
        <w:rPr>
          <w:rStyle w:val="26"/>
          <w:rFonts w:hint="eastAsia" w:ascii="仿宋_GB2312" w:eastAsia="仿宋_GB2312" w:cs="黑体"/>
          <w:bCs/>
          <w:sz w:val="28"/>
          <w:szCs w:val="28"/>
          <w:lang w:val="en-US"/>
        </w:rPr>
        <w:t>2</w:t>
      </w:r>
      <w:r>
        <w:rPr>
          <w:rStyle w:val="26"/>
          <w:rFonts w:hint="eastAsia" w:ascii="仿宋_GB2312" w:eastAsia="仿宋_GB2312" w:cs="黑体"/>
          <w:bCs/>
          <w:sz w:val="28"/>
          <w:szCs w:val="28"/>
        </w:rPr>
        <w:t>名研究生，生源</w:t>
      </w:r>
      <w:r>
        <w:rPr>
          <w:rStyle w:val="26"/>
          <w:rFonts w:hint="eastAsia" w:ascii="仿宋_GB2312" w:eastAsia="仿宋_GB2312" w:cs="黑体"/>
          <w:bCs/>
          <w:sz w:val="28"/>
          <w:szCs w:val="28"/>
          <w:lang w:val="en-US"/>
        </w:rPr>
        <w:t>情况有待提高</w:t>
      </w:r>
      <w:r>
        <w:rPr>
          <w:rStyle w:val="26"/>
          <w:rFonts w:hint="eastAsia" w:ascii="仿宋_GB2312" w:eastAsia="仿宋_GB2312" w:cs="黑体"/>
          <w:bCs/>
          <w:sz w:val="28"/>
          <w:szCs w:val="28"/>
        </w:rPr>
        <w:t>。</w:t>
      </w:r>
    </w:p>
    <w:p>
      <w:pPr>
        <w:widowControl/>
        <w:spacing w:line="560" w:lineRule="exact"/>
        <w:ind w:firstLine="643" w:firstLineChars="200"/>
        <w:textAlignment w:val="baseline"/>
        <w:rPr>
          <w:rStyle w:val="26"/>
          <w:rFonts w:ascii="仿宋_GB2312" w:hAnsi="黑体" w:eastAsia="仿宋_GB2312" w:cs="黑体"/>
          <w:b/>
          <w:sz w:val="32"/>
          <w:szCs w:val="32"/>
        </w:rPr>
      </w:pPr>
      <w:r>
        <w:rPr>
          <w:rStyle w:val="26"/>
          <w:rFonts w:hint="eastAsia" w:ascii="仿宋_GB2312" w:hAnsi="黑体" w:eastAsia="仿宋_GB2312" w:cs="黑体"/>
          <w:b/>
          <w:sz w:val="32"/>
          <w:szCs w:val="32"/>
        </w:rPr>
        <w:t>六、改进措施</w:t>
      </w:r>
    </w:p>
    <w:p>
      <w:pPr>
        <w:widowControl/>
        <w:spacing w:line="560" w:lineRule="exact"/>
        <w:ind w:firstLine="560" w:firstLineChars="200"/>
        <w:textAlignment w:val="baseline"/>
        <w:rPr>
          <w:rStyle w:val="26"/>
          <w:rFonts w:ascii="仿宋_GB2312" w:hAnsi="方正仿宋简体" w:eastAsia="仿宋_GB2312" w:cs="方正仿宋简体"/>
          <w:sz w:val="28"/>
          <w:szCs w:val="28"/>
        </w:rPr>
      </w:pPr>
      <w:r>
        <w:rPr>
          <w:rStyle w:val="26"/>
          <w:rFonts w:hint="eastAsia" w:ascii="仿宋_GB2312" w:hAnsi="方正仿宋简体" w:eastAsia="仿宋_GB2312" w:cs="方正仿宋简体"/>
          <w:sz w:val="28"/>
          <w:szCs w:val="28"/>
        </w:rPr>
        <w:t>针对以上问题提出如下改进建议和下一步举措。</w:t>
      </w:r>
    </w:p>
    <w:p>
      <w:pPr>
        <w:pStyle w:val="3"/>
        <w:ind w:firstLine="562"/>
        <w:rPr>
          <w:rStyle w:val="26"/>
          <w:rFonts w:ascii="仿宋_GB2312" w:hAnsi="方正仿宋简体" w:eastAsia="仿宋_GB2312" w:cs="方正仿宋简体"/>
          <w:sz w:val="28"/>
          <w:szCs w:val="28"/>
        </w:rPr>
      </w:pPr>
      <w:r>
        <w:rPr>
          <w:rStyle w:val="26"/>
          <w:rFonts w:hint="eastAsia" w:ascii="仿宋_GB2312" w:hAnsi="方正仿宋简体" w:eastAsia="仿宋_GB2312" w:cs="方正仿宋简体"/>
          <w:b/>
          <w:bCs/>
          <w:sz w:val="28"/>
          <w:szCs w:val="28"/>
        </w:rPr>
        <w:t>1.研究生招生方面：</w:t>
      </w:r>
      <w:r>
        <w:rPr>
          <w:rStyle w:val="26"/>
          <w:rFonts w:hint="eastAsia" w:ascii="仿宋_GB2312" w:hAnsi="方正仿宋简体" w:eastAsia="仿宋_GB2312" w:cs="方正仿宋简体"/>
          <w:sz w:val="28"/>
          <w:szCs w:val="28"/>
        </w:rPr>
        <w:t>线上线下加大研究生招生的宣传，配备研究生招生专职人员，提升研究生招生的工作效率，改变招生规模小的不良状况。</w:t>
      </w:r>
    </w:p>
    <w:p>
      <w:pPr>
        <w:pStyle w:val="3"/>
        <w:ind w:firstLine="562"/>
        <w:rPr>
          <w:rStyle w:val="26"/>
          <w:rFonts w:ascii="仿宋_GB2312" w:hAnsi="方正仿宋简体" w:eastAsia="仿宋_GB2312" w:cs="方正仿宋简体"/>
          <w:sz w:val="28"/>
          <w:szCs w:val="28"/>
        </w:rPr>
      </w:pPr>
      <w:r>
        <w:rPr>
          <w:rStyle w:val="26"/>
          <w:rFonts w:hint="eastAsia" w:ascii="仿宋_GB2312" w:hAnsi="方正仿宋简体" w:eastAsia="仿宋_GB2312" w:cs="方正仿宋简体"/>
          <w:b/>
          <w:bCs/>
          <w:sz w:val="28"/>
          <w:szCs w:val="28"/>
        </w:rPr>
        <w:t>2.研究生授课方面：</w:t>
      </w:r>
      <w:r>
        <w:rPr>
          <w:rStyle w:val="26"/>
          <w:rFonts w:hint="eastAsia" w:ascii="仿宋_GB2312" w:hAnsi="方正仿宋简体" w:eastAsia="仿宋_GB2312" w:cs="方正仿宋简体"/>
          <w:sz w:val="28"/>
          <w:szCs w:val="28"/>
        </w:rPr>
        <w:t>工商管理学硕专业，其实也属于理论和实践相结合的研究应用性专业，在研究生的授课方面，有必要改进授课方式和内容，重视互联网、案例分析进入课堂授课，注重理论和实践相结合，避免一味讲授文献。</w:t>
      </w:r>
    </w:p>
    <w:p>
      <w:pPr>
        <w:pStyle w:val="3"/>
        <w:ind w:firstLine="562"/>
        <w:rPr>
          <w:sz w:val="28"/>
          <w:szCs w:val="28"/>
        </w:rPr>
      </w:pPr>
      <w:r>
        <w:rPr>
          <w:rStyle w:val="26"/>
          <w:rFonts w:hint="eastAsia" w:ascii="仿宋_GB2312" w:hAnsi="方正仿宋简体" w:eastAsia="仿宋_GB2312" w:cs="方正仿宋简体"/>
          <w:b/>
          <w:bCs/>
          <w:sz w:val="28"/>
          <w:szCs w:val="28"/>
        </w:rPr>
        <w:t>3.研究生论文指导方面：</w:t>
      </w:r>
      <w:r>
        <w:rPr>
          <w:rStyle w:val="26"/>
          <w:rFonts w:hint="eastAsia" w:ascii="仿宋_GB2312" w:hAnsi="方正仿宋简体" w:eastAsia="仿宋_GB2312" w:cs="方正仿宋简体"/>
          <w:sz w:val="28"/>
          <w:szCs w:val="28"/>
        </w:rPr>
        <w:t>毕业论文的选题，要加大指导力度，增加选题的新颖性和应用性，引导研究生多关注实践。悉心指导研究生毕业论文的写作，使研究生的论文写作内容要体现出一定的理论深度和实践意义，避免空乏的文献到文献的阐述和证伪。</w:t>
      </w:r>
    </w:p>
    <w:p>
      <w:pPr>
        <w:pStyle w:val="3"/>
        <w:spacing w:line="480" w:lineRule="exact"/>
        <w:ind w:firstLine="562"/>
        <w:rPr>
          <w:rStyle w:val="26"/>
          <w:rFonts w:ascii="仿宋_GB2312" w:hAnsi="方正仿宋简体" w:eastAsia="仿宋_GB2312" w:cs="方正仿宋简体"/>
          <w:sz w:val="28"/>
          <w:szCs w:val="28"/>
        </w:rPr>
      </w:pPr>
      <w:r>
        <w:rPr>
          <w:rStyle w:val="26"/>
          <w:rFonts w:hint="eastAsia" w:ascii="仿宋_GB2312" w:hAnsi="方正仿宋简体" w:eastAsia="仿宋_GB2312" w:cs="方正仿宋简体"/>
          <w:b/>
          <w:bCs/>
          <w:sz w:val="28"/>
          <w:szCs w:val="28"/>
        </w:rPr>
        <w:t>4.研究生导师提升方面：</w:t>
      </w:r>
      <w:r>
        <w:rPr>
          <w:rStyle w:val="26"/>
          <w:rFonts w:hint="eastAsia" w:ascii="仿宋_GB2312" w:hAnsi="方正仿宋简体" w:eastAsia="仿宋_GB2312" w:cs="方正仿宋简体"/>
          <w:sz w:val="28"/>
          <w:szCs w:val="28"/>
        </w:rPr>
        <w:t>着力引进人才，优化导师结构；加大导师的培训，不断提升导师的指导水平；按学科背景和研究方向严格筛选合格硕导。</w:t>
      </w:r>
    </w:p>
    <w:p>
      <w:pPr>
        <w:widowControl/>
        <w:spacing w:line="560" w:lineRule="exact"/>
        <w:ind w:firstLine="643" w:firstLineChars="200"/>
        <w:textAlignment w:val="baseline"/>
        <w:rPr>
          <w:rStyle w:val="26"/>
          <w:rFonts w:ascii="仿宋_GB2312" w:hAnsi="黑体" w:eastAsia="仿宋_GB2312" w:cs="黑体"/>
          <w:b/>
          <w:sz w:val="32"/>
          <w:szCs w:val="32"/>
        </w:rPr>
      </w:pPr>
      <w:r>
        <w:rPr>
          <w:rStyle w:val="26"/>
          <w:rFonts w:hint="eastAsia" w:ascii="仿宋_GB2312" w:hAnsi="黑体" w:eastAsia="仿宋_GB2312" w:cs="黑体"/>
          <w:b/>
          <w:sz w:val="32"/>
          <w:szCs w:val="32"/>
        </w:rPr>
        <w:t>七、存在问题及目标</w:t>
      </w:r>
    </w:p>
    <w:p>
      <w:pPr>
        <w:pStyle w:val="6"/>
        <w:ind w:left="0" w:firstLine="0"/>
        <w:jc w:val="center"/>
        <w:rPr>
          <w:rStyle w:val="26"/>
          <w:rFonts w:ascii="仿宋_GB2312" w:hAnsi="方正仿宋简体" w:eastAsia="仿宋_GB2312" w:cs="方正仿宋简体"/>
          <w:b/>
          <w:bCs/>
          <w:sz w:val="22"/>
          <w:szCs w:val="30"/>
          <w:lang w:bidi="ar-SA"/>
        </w:rPr>
      </w:pPr>
      <w:r>
        <w:rPr>
          <w:rStyle w:val="26"/>
          <w:rFonts w:hint="eastAsia" w:ascii="仿宋_GB2312" w:hAnsi="方正仿宋简体" w:eastAsia="仿宋_GB2312" w:cs="方正仿宋简体"/>
          <w:b/>
          <w:bCs/>
          <w:sz w:val="22"/>
          <w:szCs w:val="30"/>
          <w:lang w:bidi="ar-SA"/>
        </w:rPr>
        <w:t>工商管理（1202）硕士授权点对照表（2020-2024年）</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356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项目</w:t>
            </w:r>
          </w:p>
        </w:tc>
        <w:tc>
          <w:tcPr>
            <w:tcW w:w="3564"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硕士学位授权点条件</w:t>
            </w:r>
          </w:p>
        </w:tc>
        <w:tc>
          <w:tcPr>
            <w:tcW w:w="2841"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本点内基本情况及目标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b/>
                <w:bCs/>
                <w:sz w:val="22"/>
                <w:szCs w:val="22"/>
                <w:lang w:val="en-US"/>
              </w:rPr>
            </w:pPr>
            <w:r>
              <w:rPr>
                <w:rFonts w:hint="eastAsia"/>
                <w:b/>
                <w:bCs/>
                <w:sz w:val="22"/>
                <w:szCs w:val="22"/>
                <w:lang w:val="en-US"/>
              </w:rPr>
              <w:t>一、学科方向与特色</w:t>
            </w:r>
          </w:p>
        </w:tc>
        <w:tc>
          <w:tcPr>
            <w:tcW w:w="3564"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p>
        </w:tc>
        <w:tc>
          <w:tcPr>
            <w:tcW w:w="2841"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17"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1.学科方向</w:t>
            </w:r>
          </w:p>
        </w:tc>
        <w:tc>
          <w:tcPr>
            <w:tcW w:w="3564"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主干学科不少于3个</w:t>
            </w:r>
          </w:p>
        </w:tc>
        <w:tc>
          <w:tcPr>
            <w:tcW w:w="2841" w:type="dxa"/>
            <w:vAlign w:val="center"/>
          </w:tcPr>
          <w:p>
            <w:pPr>
              <w:keepNext w:val="0"/>
              <w:keepLines w:val="0"/>
              <w:suppressLineNumbers w:val="0"/>
              <w:spacing w:before="0" w:beforeAutospacing="0" w:after="0" w:afterAutospacing="0"/>
              <w:ind w:left="0" w:right="0"/>
              <w:jc w:val="left"/>
              <w:rPr>
                <w:rFonts w:hint="default"/>
                <w:sz w:val="28"/>
                <w:szCs w:val="22"/>
              </w:rPr>
            </w:pPr>
            <w:r>
              <w:rPr>
                <w:rFonts w:hint="eastAsia" w:ascii="宋体" w:hAnsi="宋体" w:eastAsia="宋体" w:cs="宋体"/>
                <w:kern w:val="0"/>
                <w:sz w:val="22"/>
                <w:szCs w:val="22"/>
                <w:lang w:bidi="zh-CN"/>
              </w:rPr>
              <w:t>本学位点有</w:t>
            </w:r>
            <w:r>
              <w:rPr>
                <w:rFonts w:hint="default" w:ascii="宋体" w:hAnsi="宋体" w:eastAsia="宋体" w:cs="宋体"/>
                <w:kern w:val="0"/>
                <w:sz w:val="22"/>
                <w:szCs w:val="22"/>
                <w:lang w:bidi="zh-CN"/>
              </w:rPr>
              <w:t>会计</w:t>
            </w:r>
            <w:r>
              <w:rPr>
                <w:rFonts w:hint="eastAsia" w:ascii="宋体" w:hAnsi="宋体" w:eastAsia="宋体" w:cs="宋体"/>
                <w:kern w:val="0"/>
                <w:sz w:val="22"/>
                <w:szCs w:val="22"/>
                <w:lang w:bidi="zh-CN"/>
              </w:rPr>
              <w:t>学、</w:t>
            </w:r>
            <w:r>
              <w:rPr>
                <w:rFonts w:hint="default" w:ascii="宋体" w:hAnsi="宋体" w:eastAsia="宋体" w:cs="宋体"/>
                <w:kern w:val="0"/>
                <w:sz w:val="22"/>
                <w:szCs w:val="22"/>
                <w:lang w:bidi="zh-CN"/>
              </w:rPr>
              <w:t>企业管理</w:t>
            </w:r>
            <w:r>
              <w:rPr>
                <w:rFonts w:hint="eastAsia" w:ascii="宋体" w:hAnsi="宋体" w:eastAsia="宋体" w:cs="宋体"/>
                <w:kern w:val="0"/>
                <w:sz w:val="22"/>
                <w:szCs w:val="22"/>
                <w:lang w:bidi="zh-CN"/>
              </w:rPr>
              <w:t>、</w:t>
            </w:r>
            <w:r>
              <w:rPr>
                <w:rFonts w:hint="default" w:ascii="宋体" w:hAnsi="宋体" w:eastAsia="宋体" w:cs="宋体"/>
                <w:kern w:val="0"/>
                <w:sz w:val="22"/>
                <w:szCs w:val="22"/>
                <w:lang w:bidi="zh-CN"/>
              </w:rPr>
              <w:t>旅游管理三个二级学科点。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2.学科特色</w:t>
            </w:r>
          </w:p>
        </w:tc>
        <w:tc>
          <w:tcPr>
            <w:tcW w:w="3564"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至少有1个学科方向特色和优势明显</w:t>
            </w:r>
          </w:p>
        </w:tc>
        <w:tc>
          <w:tcPr>
            <w:tcW w:w="2841" w:type="dxa"/>
            <w:vAlign w:val="center"/>
          </w:tcPr>
          <w:p>
            <w:pPr>
              <w:pStyle w:val="6"/>
              <w:keepNext w:val="0"/>
              <w:keepLines w:val="0"/>
              <w:suppressLineNumbers w:val="0"/>
              <w:spacing w:before="0" w:beforeAutospacing="0" w:after="0" w:afterAutospacing="0" w:line="480" w:lineRule="atLeast"/>
              <w:ind w:left="0" w:right="0" w:firstLine="0"/>
              <w:rPr>
                <w:rFonts w:hint="default"/>
                <w:sz w:val="22"/>
                <w:szCs w:val="22"/>
                <w:lang w:val="en-US"/>
              </w:rPr>
            </w:pPr>
            <w:r>
              <w:rPr>
                <w:rFonts w:hint="default"/>
                <w:sz w:val="22"/>
                <w:szCs w:val="22"/>
                <w:lang w:val="en-US"/>
              </w:rPr>
              <w:t>2012年旅游管理（金牌导游）专业被江西省教育厅列入专业综合改革项目予以重点支持。2014年会计学专业被江西省教育厅列入专业综合改革项目予以重点支持。</w:t>
            </w:r>
            <w:r>
              <w:rPr>
                <w:rFonts w:hint="eastAsia"/>
                <w:sz w:val="22"/>
                <w:szCs w:val="22"/>
                <w:lang w:val="en-US"/>
              </w:rPr>
              <w:t>2</w:t>
            </w:r>
            <w:r>
              <w:rPr>
                <w:rFonts w:hint="default"/>
                <w:sz w:val="22"/>
                <w:szCs w:val="22"/>
                <w:lang w:val="en-US"/>
              </w:rPr>
              <w:t>020-2021年财务管理、旅游管理、会计学等3个专业入选国家级一流本科专业建设点。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b/>
                <w:bCs/>
                <w:sz w:val="22"/>
                <w:szCs w:val="22"/>
                <w:lang w:val="en-US"/>
              </w:rPr>
            </w:pPr>
            <w:r>
              <w:rPr>
                <w:rFonts w:hint="eastAsia"/>
                <w:b/>
                <w:bCs/>
                <w:sz w:val="22"/>
                <w:szCs w:val="22"/>
                <w:lang w:val="en-US"/>
              </w:rPr>
              <w:t>二、学科队伍</w:t>
            </w:r>
          </w:p>
        </w:tc>
        <w:tc>
          <w:tcPr>
            <w:tcW w:w="3564"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p>
        </w:tc>
        <w:tc>
          <w:tcPr>
            <w:tcW w:w="2841"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3.人员规模</w:t>
            </w:r>
          </w:p>
        </w:tc>
        <w:tc>
          <w:tcPr>
            <w:tcW w:w="3564"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专任教师不少于30人</w:t>
            </w:r>
          </w:p>
        </w:tc>
        <w:tc>
          <w:tcPr>
            <w:tcW w:w="2841"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本学科点共有专任教师35名，硕导28人，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4.人员结构</w:t>
            </w:r>
          </w:p>
        </w:tc>
        <w:tc>
          <w:tcPr>
            <w:tcW w:w="3564"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default"/>
                <w:sz w:val="22"/>
                <w:szCs w:val="22"/>
                <w:lang w:val="en-US"/>
              </w:rPr>
              <w:t>专任教师队伍中，具有高级职称（正高、副高）比例不低于40%；有一定比例的专任教师获外单位硕士以上学位；具有博士学位比例不低于40%；45 岁以下教师占较大比例。</w:t>
            </w:r>
          </w:p>
        </w:tc>
        <w:tc>
          <w:tcPr>
            <w:tcW w:w="2841" w:type="dxa"/>
            <w:vAlign w:val="center"/>
          </w:tcPr>
          <w:p>
            <w:pPr>
              <w:pStyle w:val="6"/>
              <w:keepNext w:val="0"/>
              <w:keepLines w:val="0"/>
              <w:suppressLineNumbers w:val="0"/>
              <w:spacing w:before="0" w:beforeAutospacing="0" w:after="0" w:afterAutospacing="0" w:line="480" w:lineRule="atLeast"/>
              <w:ind w:left="0" w:right="0" w:firstLine="0"/>
              <w:jc w:val="both"/>
              <w:rPr>
                <w:rFonts w:hint="default"/>
                <w:sz w:val="22"/>
                <w:szCs w:val="22"/>
                <w:lang w:val="en-US"/>
              </w:rPr>
            </w:pPr>
            <w:r>
              <w:rPr>
                <w:rFonts w:hint="eastAsia"/>
                <w:sz w:val="22"/>
                <w:szCs w:val="22"/>
                <w:lang w:val="en-US"/>
              </w:rPr>
              <w:t>本学科点教授11名，副教授18名，具有高级职称比例占83%以上，博士19名，占总人数54%；50岁以下22人，占总人数68.6%；具有海外专任教师8人，占总人数22.8%，获得外单位硕士以上学位占97%以上，职称结构、学历结构、年龄结构和学缘结构合理，学术梯队具有可持续发展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6"/>
              <w:keepNext w:val="0"/>
              <w:keepLines w:val="0"/>
              <w:numPr>
                <w:ilvl w:val="0"/>
                <w:numId w:val="2"/>
              </w:numPr>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学科带头人与学术骨干</w:t>
            </w:r>
          </w:p>
        </w:tc>
        <w:tc>
          <w:tcPr>
            <w:tcW w:w="3564"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default"/>
                <w:sz w:val="22"/>
                <w:szCs w:val="22"/>
                <w:lang w:val="en-US"/>
              </w:rPr>
              <w:t>每个学科方向均有1 名以上（含）学科带头人，2-3 名学术骨干。近五年在相关学科领域的重要期刊发表论文人均不低于3 篇；具备指导硕士研究生水平、能力和经验，学科带头人和学术骨干在管理学及相近学科硕士点担任硕士生导师，并完整指导过至少一届硕士毕业生，其中学科带头人已经培养过6 名以上的硕士生。</w:t>
            </w:r>
          </w:p>
        </w:tc>
        <w:tc>
          <w:tcPr>
            <w:tcW w:w="2841"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default"/>
                <w:sz w:val="22"/>
                <w:szCs w:val="22"/>
                <w:lang w:val="en-US"/>
              </w:rPr>
              <w:t>刘斌教授、程月明副教授、刘传喜副教授分别为会计学、企业管理、旅游管理的方向带头人，均已培养过6名以上硕士。每个二级学科方向专任教师队伍均为7人以上，学术骨干教师2名，都完整指导过至少一届硕士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三、人才培养</w:t>
            </w:r>
          </w:p>
        </w:tc>
        <w:tc>
          <w:tcPr>
            <w:tcW w:w="3564"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p>
        </w:tc>
        <w:tc>
          <w:tcPr>
            <w:tcW w:w="2841"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6.课程与教学</w:t>
            </w:r>
          </w:p>
        </w:tc>
        <w:tc>
          <w:tcPr>
            <w:tcW w:w="3564"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default"/>
                <w:sz w:val="22"/>
                <w:szCs w:val="22"/>
                <w:lang w:val="en-US"/>
              </w:rPr>
              <w:t>已经制定比较完整的硕士生培养方案，拟开设的硕士生课程及结构等符合工商管理一级学科硕士学位的基本要求，且体现《教育部关于改进和加强研究生课程建设的意见》精神。</w:t>
            </w:r>
          </w:p>
        </w:tc>
        <w:tc>
          <w:tcPr>
            <w:tcW w:w="2841"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default"/>
                <w:sz w:val="22"/>
                <w:szCs w:val="22"/>
                <w:lang w:val="en-US"/>
              </w:rPr>
              <w:t>本学位点所培养的研究生标准学制为3年，实行学分制。获硕士学位应满足的标准：2021年前人才培养要求修满学分42分，2021年后人才培养方案修订要求修满学分38分；科研水平、学位论文达到“硕士研究生培养方案”要求。本学位点硕士学位授予标准具体明确，符合国家硕士学位授予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7.培养质量</w:t>
            </w:r>
          </w:p>
        </w:tc>
        <w:tc>
          <w:tcPr>
            <w:tcW w:w="3564"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default"/>
                <w:sz w:val="22"/>
                <w:szCs w:val="22"/>
                <w:lang w:val="en-US"/>
              </w:rPr>
              <w:t>近五年本学科点获得省部级以上教学成果奖至少1项</w:t>
            </w:r>
          </w:p>
        </w:tc>
        <w:tc>
          <w:tcPr>
            <w:tcW w:w="2841" w:type="dxa"/>
            <w:vAlign w:val="center"/>
          </w:tcPr>
          <w:p>
            <w:pPr>
              <w:pStyle w:val="6"/>
              <w:keepNext w:val="0"/>
              <w:keepLines w:val="0"/>
              <w:suppressLineNumbers w:val="0"/>
              <w:spacing w:before="0" w:beforeAutospacing="0" w:after="0" w:afterAutospacing="0" w:line="480" w:lineRule="atLeast"/>
              <w:ind w:left="0" w:right="0" w:firstLine="0"/>
              <w:rPr>
                <w:rFonts w:hint="default"/>
                <w:sz w:val="22"/>
                <w:szCs w:val="22"/>
                <w:lang w:val="en-US"/>
              </w:rPr>
            </w:pPr>
            <w:r>
              <w:rPr>
                <w:rFonts w:hint="eastAsia"/>
                <w:sz w:val="22"/>
                <w:szCs w:val="22"/>
                <w:lang w:val="en-US"/>
              </w:rPr>
              <w:t>20</w:t>
            </w:r>
            <w:r>
              <w:rPr>
                <w:rFonts w:hint="default"/>
                <w:sz w:val="22"/>
                <w:szCs w:val="22"/>
                <w:lang w:val="en-US"/>
              </w:rPr>
              <w:t>23</w:t>
            </w:r>
            <w:r>
              <w:rPr>
                <w:rFonts w:hint="eastAsia"/>
                <w:sz w:val="22"/>
                <w:szCs w:val="22"/>
                <w:lang w:val="en-US"/>
              </w:rPr>
              <w:t>年曾获得省级</w:t>
            </w:r>
            <w:r>
              <w:rPr>
                <w:rFonts w:hint="default"/>
                <w:sz w:val="22"/>
                <w:szCs w:val="22"/>
                <w:lang w:val="en-US"/>
              </w:rPr>
              <w:t>教学成果奖二等奖</w:t>
            </w:r>
            <w:r>
              <w:rPr>
                <w:rFonts w:hint="eastAsia"/>
                <w:sz w:val="22"/>
                <w:szCs w:val="22"/>
                <w:lang w:val="en-US"/>
              </w:rPr>
              <w:t xml:space="preserve">1项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四、培养环境与条件</w:t>
            </w:r>
          </w:p>
        </w:tc>
        <w:tc>
          <w:tcPr>
            <w:tcW w:w="3564"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p>
        </w:tc>
        <w:tc>
          <w:tcPr>
            <w:tcW w:w="2841"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8.科学研究</w:t>
            </w:r>
          </w:p>
        </w:tc>
        <w:tc>
          <w:tcPr>
            <w:tcW w:w="3564"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default"/>
                <w:sz w:val="22"/>
                <w:szCs w:val="22"/>
                <w:lang w:val="en-US"/>
              </w:rPr>
              <w:t>主持省部级以上科研项目不少于15 项。总体科研经费较为充足。本学科点近五年内实际获得并计入单位财务账目的科研经费年均不低于80 万元，其中纵向经费年均不低于30 万元。为学生参与科研项目提供条件。本学科点近五年获得省部级以上科研奖励不少于2 项。</w:t>
            </w:r>
          </w:p>
        </w:tc>
        <w:tc>
          <w:tcPr>
            <w:tcW w:w="2841" w:type="dxa"/>
            <w:vAlign w:val="center"/>
          </w:tcPr>
          <w:p>
            <w:pPr>
              <w:pStyle w:val="6"/>
              <w:keepNext w:val="0"/>
              <w:keepLines w:val="0"/>
              <w:suppressLineNumbers w:val="0"/>
              <w:spacing w:before="0" w:beforeAutospacing="0" w:after="0" w:afterAutospacing="0" w:line="480" w:lineRule="atLeast"/>
              <w:ind w:left="0" w:right="0" w:firstLine="0"/>
              <w:rPr>
                <w:rFonts w:hint="default"/>
                <w:sz w:val="22"/>
                <w:szCs w:val="22"/>
                <w:lang w:val="en-US"/>
              </w:rPr>
            </w:pPr>
            <w:r>
              <w:rPr>
                <w:rFonts w:hint="eastAsia"/>
                <w:sz w:val="22"/>
                <w:szCs w:val="22"/>
                <w:lang w:val="en-US"/>
              </w:rPr>
              <w:t>2</w:t>
            </w:r>
            <w:r>
              <w:rPr>
                <w:rFonts w:hint="default"/>
                <w:sz w:val="22"/>
                <w:szCs w:val="22"/>
                <w:lang w:val="en-US"/>
              </w:rPr>
              <w:t>021—2023</w:t>
            </w:r>
            <w:r>
              <w:rPr>
                <w:rFonts w:hint="eastAsia"/>
                <w:sz w:val="22"/>
                <w:szCs w:val="22"/>
                <w:lang w:val="en-US"/>
              </w:rPr>
              <w:t>年本学科点已有教师获得省社科成果奖</w:t>
            </w:r>
            <w:r>
              <w:rPr>
                <w:rFonts w:hint="default"/>
                <w:sz w:val="22"/>
                <w:szCs w:val="22"/>
                <w:lang w:val="en-US"/>
              </w:rPr>
              <w:t>2</w:t>
            </w:r>
            <w:r>
              <w:rPr>
                <w:rFonts w:hint="eastAsia"/>
                <w:sz w:val="22"/>
                <w:szCs w:val="22"/>
                <w:lang w:val="en-US"/>
              </w:rPr>
              <w:t>项，纵向经费1</w:t>
            </w:r>
            <w:r>
              <w:rPr>
                <w:rFonts w:hint="default"/>
                <w:sz w:val="22"/>
                <w:szCs w:val="22"/>
                <w:lang w:val="en-US"/>
              </w:rPr>
              <w:t>16.6万元，</w:t>
            </w:r>
            <w:r>
              <w:rPr>
                <w:rFonts w:hint="eastAsia"/>
                <w:sz w:val="22"/>
                <w:szCs w:val="22"/>
                <w:lang w:val="en-US"/>
              </w:rPr>
              <w:t>横向到账科研经费</w:t>
            </w:r>
            <w:r>
              <w:rPr>
                <w:rFonts w:hint="default"/>
                <w:sz w:val="22"/>
                <w:szCs w:val="22"/>
                <w:lang w:val="en-US"/>
              </w:rPr>
              <w:t>603.36万元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9.学术交流</w:t>
            </w:r>
          </w:p>
        </w:tc>
        <w:tc>
          <w:tcPr>
            <w:tcW w:w="3564"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default"/>
                <w:sz w:val="22"/>
                <w:szCs w:val="22"/>
                <w:lang w:val="en-US"/>
              </w:rPr>
              <w:t>近五年参加国际学术会议和全国学术会议，教师人均不少于1 次</w:t>
            </w:r>
          </w:p>
        </w:tc>
        <w:tc>
          <w:tcPr>
            <w:tcW w:w="2841" w:type="dxa"/>
            <w:vAlign w:val="center"/>
          </w:tcPr>
          <w:p>
            <w:pPr>
              <w:pStyle w:val="6"/>
              <w:keepNext w:val="0"/>
              <w:keepLines w:val="0"/>
              <w:suppressLineNumbers w:val="0"/>
              <w:spacing w:before="0" w:beforeAutospacing="0" w:after="0" w:afterAutospacing="0" w:line="480" w:lineRule="atLeast"/>
              <w:ind w:left="0" w:right="0" w:firstLine="0"/>
              <w:rPr>
                <w:rFonts w:hint="default"/>
                <w:sz w:val="22"/>
                <w:szCs w:val="22"/>
                <w:lang w:val="en-US"/>
              </w:rPr>
            </w:pPr>
            <w:r>
              <w:rPr>
                <w:rFonts w:hint="eastAsia"/>
                <w:sz w:val="22"/>
                <w:szCs w:val="22"/>
                <w:lang w:val="en-US"/>
              </w:rPr>
              <w:t>教师人均不少于1次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eastAsia"/>
                <w:sz w:val="22"/>
                <w:szCs w:val="22"/>
                <w:lang w:val="en-US"/>
              </w:rPr>
              <w:t>10.支撑条件</w:t>
            </w:r>
          </w:p>
        </w:tc>
        <w:tc>
          <w:tcPr>
            <w:tcW w:w="3564" w:type="dxa"/>
            <w:vAlign w:val="center"/>
          </w:tcPr>
          <w:p>
            <w:pPr>
              <w:pStyle w:val="6"/>
              <w:keepNext w:val="0"/>
              <w:keepLines w:val="0"/>
              <w:suppressLineNumbers w:val="0"/>
              <w:spacing w:before="0" w:beforeAutospacing="0" w:after="0" w:afterAutospacing="0" w:line="480" w:lineRule="atLeast"/>
              <w:ind w:left="0" w:right="0" w:firstLine="0"/>
              <w:jc w:val="center"/>
              <w:rPr>
                <w:rFonts w:hint="default"/>
                <w:sz w:val="22"/>
                <w:szCs w:val="22"/>
                <w:lang w:val="en-US"/>
              </w:rPr>
            </w:pPr>
            <w:r>
              <w:rPr>
                <w:rFonts w:hint="default"/>
                <w:sz w:val="22"/>
                <w:szCs w:val="22"/>
                <w:lang w:val="en-US"/>
              </w:rPr>
              <w:t>有用于研究生教学科研的平台、实验室和实践基地，有较先进的教学科研设备，有较充足的国内外图书资料、数据库，能满足培养硕士研究生的需要。学科建设和研究生培养管理制度和机构健全，管理人员落实。设立有针对本学科本科生或相关学科硕士研究生奖助学金。</w:t>
            </w:r>
          </w:p>
        </w:tc>
        <w:tc>
          <w:tcPr>
            <w:tcW w:w="2841" w:type="dxa"/>
            <w:vAlign w:val="center"/>
          </w:tcPr>
          <w:p>
            <w:pPr>
              <w:pStyle w:val="6"/>
              <w:keepNext w:val="0"/>
              <w:keepLines w:val="0"/>
              <w:suppressLineNumbers w:val="0"/>
              <w:spacing w:before="0" w:beforeAutospacing="0" w:after="0" w:afterAutospacing="0" w:line="480" w:lineRule="atLeast"/>
              <w:ind w:left="0" w:right="0" w:firstLine="0"/>
              <w:rPr>
                <w:rFonts w:hint="default"/>
                <w:sz w:val="22"/>
                <w:szCs w:val="22"/>
                <w:lang w:val="en-US"/>
              </w:rPr>
            </w:pPr>
            <w:r>
              <w:rPr>
                <w:rFonts w:hint="eastAsia"/>
                <w:sz w:val="22"/>
                <w:szCs w:val="22"/>
                <w:lang w:val="en-US"/>
              </w:rPr>
              <w:t>建立健全学科建设和研究生培养管理制度和机构，研究生教学科研基地和设备、数据库还需要在2</w:t>
            </w:r>
            <w:r>
              <w:rPr>
                <w:rFonts w:hint="default"/>
                <w:sz w:val="22"/>
                <w:szCs w:val="22"/>
                <w:lang w:val="en-US"/>
              </w:rPr>
              <w:t>024</w:t>
            </w:r>
            <w:r>
              <w:rPr>
                <w:rFonts w:hint="eastAsia"/>
                <w:sz w:val="22"/>
                <w:szCs w:val="22"/>
                <w:lang w:val="en-US"/>
              </w:rPr>
              <w:t>年前增加更新。</w:t>
            </w:r>
          </w:p>
        </w:tc>
      </w:tr>
    </w:tbl>
    <w:p>
      <w:pPr>
        <w:pStyle w:val="6"/>
        <w:ind w:left="0" w:firstLine="0"/>
        <w:jc w:val="center"/>
        <w:rPr>
          <w:rStyle w:val="26"/>
          <w:rFonts w:ascii="仿宋_GB2312" w:hAnsi="黑体" w:eastAsia="仿宋_GB2312" w:cs="黑体"/>
          <w:b/>
          <w:sz w:val="32"/>
          <w:szCs w:val="32"/>
        </w:rPr>
      </w:pPr>
    </w:p>
    <w:p>
      <w:pPr>
        <w:pStyle w:val="6"/>
        <w:rPr>
          <w:rStyle w:val="26"/>
          <w:rFonts w:ascii="仿宋_GB2312" w:hAnsi="黑体" w:eastAsia="仿宋_GB2312" w:cs="黑体"/>
          <w:b/>
          <w:sz w:val="32"/>
          <w:szCs w:val="32"/>
        </w:rPr>
      </w:pPr>
    </w:p>
    <w:p/>
    <w:p/>
    <w:p/>
    <w:p>
      <w:pPr>
        <w:pStyle w:val="3"/>
      </w:pPr>
    </w:p>
    <w:p/>
    <w:p>
      <w:pPr>
        <w:pStyle w:val="6"/>
      </w:pPr>
    </w:p>
    <w:p>
      <w:pPr>
        <w:pStyle w:val="6"/>
      </w:pPr>
    </w:p>
    <w:p>
      <w:pPr>
        <w:spacing w:after="156" w:afterLines="50" w:line="560" w:lineRule="exact"/>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textAlignment w:val="baseline"/>
      <w:rPr>
        <w:rStyle w:val="26"/>
        <w:rFonts w:ascii="Times New Roman" w:hAnsi="Times New Roman" w:eastAsia="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jc w:val="center"/>
      <w:textAlignment w:val="baseline"/>
      <w:rPr>
        <w:rStyle w:val="26"/>
        <w:rFonts w:ascii="Times New Roman" w:hAnsi="Times New Roman" w:eastAsia="宋体"/>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eastAsia="宋体"/>
                            </w:rPr>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7"/>
                      <w:rPr>
                        <w:rFonts w:eastAsia="宋体"/>
                      </w:rPr>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E3F51"/>
    <w:multiLevelType w:val="singleLevel"/>
    <w:tmpl w:val="EC8E3F51"/>
    <w:lvl w:ilvl="0" w:tentative="0">
      <w:start w:val="1"/>
      <w:numFmt w:val="chineseCounting"/>
      <w:suff w:val="nothing"/>
      <w:lvlText w:val="（%1）"/>
      <w:lvlJc w:val="left"/>
      <w:rPr>
        <w:rFonts w:hint="eastAsia"/>
      </w:rPr>
    </w:lvl>
  </w:abstractNum>
  <w:abstractNum w:abstractNumId="1">
    <w:nsid w:val="50A6B236"/>
    <w:multiLevelType w:val="singleLevel"/>
    <w:tmpl w:val="50A6B236"/>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ODA4MTk0ZWI5M2VkMmI2MWVjZGM3ZjFkMTFiNzUifQ=="/>
  </w:docVars>
  <w:rsids>
    <w:rsidRoot w:val="00172A27"/>
    <w:rsid w:val="00000C67"/>
    <w:rsid w:val="00001EDE"/>
    <w:rsid w:val="0000504C"/>
    <w:rsid w:val="00040661"/>
    <w:rsid w:val="00045F43"/>
    <w:rsid w:val="00052B42"/>
    <w:rsid w:val="00072396"/>
    <w:rsid w:val="00082791"/>
    <w:rsid w:val="000B76AB"/>
    <w:rsid w:val="000C6AE7"/>
    <w:rsid w:val="000E50F6"/>
    <w:rsid w:val="00117C71"/>
    <w:rsid w:val="00127D41"/>
    <w:rsid w:val="001D0C24"/>
    <w:rsid w:val="001F4174"/>
    <w:rsid w:val="00225BB5"/>
    <w:rsid w:val="00294041"/>
    <w:rsid w:val="002A2A8F"/>
    <w:rsid w:val="002C0D99"/>
    <w:rsid w:val="00350B83"/>
    <w:rsid w:val="003A7A44"/>
    <w:rsid w:val="003B7289"/>
    <w:rsid w:val="004002A0"/>
    <w:rsid w:val="00424453"/>
    <w:rsid w:val="004369DB"/>
    <w:rsid w:val="00451F04"/>
    <w:rsid w:val="004628F5"/>
    <w:rsid w:val="004F744B"/>
    <w:rsid w:val="00520ED0"/>
    <w:rsid w:val="00580A70"/>
    <w:rsid w:val="005C7569"/>
    <w:rsid w:val="0060048E"/>
    <w:rsid w:val="00613929"/>
    <w:rsid w:val="00621274"/>
    <w:rsid w:val="00684E67"/>
    <w:rsid w:val="00685DAD"/>
    <w:rsid w:val="00691FCC"/>
    <w:rsid w:val="006C30F9"/>
    <w:rsid w:val="00702CF9"/>
    <w:rsid w:val="00747D96"/>
    <w:rsid w:val="007852C0"/>
    <w:rsid w:val="007B6880"/>
    <w:rsid w:val="007C4F40"/>
    <w:rsid w:val="007C51B8"/>
    <w:rsid w:val="007E0627"/>
    <w:rsid w:val="00826581"/>
    <w:rsid w:val="00864979"/>
    <w:rsid w:val="008B286F"/>
    <w:rsid w:val="008B35DA"/>
    <w:rsid w:val="008B458E"/>
    <w:rsid w:val="008D2177"/>
    <w:rsid w:val="009426E0"/>
    <w:rsid w:val="00947DF9"/>
    <w:rsid w:val="009938D6"/>
    <w:rsid w:val="009A4080"/>
    <w:rsid w:val="009B3194"/>
    <w:rsid w:val="009B4796"/>
    <w:rsid w:val="00A056B2"/>
    <w:rsid w:val="00A349CF"/>
    <w:rsid w:val="00A40EBF"/>
    <w:rsid w:val="00A54693"/>
    <w:rsid w:val="00AA23D5"/>
    <w:rsid w:val="00AA27B4"/>
    <w:rsid w:val="00AC4833"/>
    <w:rsid w:val="00AF3D4E"/>
    <w:rsid w:val="00B21C06"/>
    <w:rsid w:val="00BE2CDA"/>
    <w:rsid w:val="00BE51EE"/>
    <w:rsid w:val="00C07FF8"/>
    <w:rsid w:val="00CA6AB1"/>
    <w:rsid w:val="00CD0E9B"/>
    <w:rsid w:val="00CF0DA5"/>
    <w:rsid w:val="00D11362"/>
    <w:rsid w:val="00D153EE"/>
    <w:rsid w:val="00D17547"/>
    <w:rsid w:val="00D94DEB"/>
    <w:rsid w:val="00DA77BC"/>
    <w:rsid w:val="00DE6775"/>
    <w:rsid w:val="00E137E7"/>
    <w:rsid w:val="00E44FA8"/>
    <w:rsid w:val="00E53D40"/>
    <w:rsid w:val="00E57006"/>
    <w:rsid w:val="00E8689E"/>
    <w:rsid w:val="00EB1974"/>
    <w:rsid w:val="00EB29DA"/>
    <w:rsid w:val="00EB5376"/>
    <w:rsid w:val="00ED0DF4"/>
    <w:rsid w:val="00ED3114"/>
    <w:rsid w:val="00EF1BE0"/>
    <w:rsid w:val="00F62EA4"/>
    <w:rsid w:val="00F6588A"/>
    <w:rsid w:val="00F818B0"/>
    <w:rsid w:val="00FA076B"/>
    <w:rsid w:val="00FA24AD"/>
    <w:rsid w:val="00FB53DE"/>
    <w:rsid w:val="00FC4900"/>
    <w:rsid w:val="00FD4186"/>
    <w:rsid w:val="04612D85"/>
    <w:rsid w:val="05235D34"/>
    <w:rsid w:val="05256BB3"/>
    <w:rsid w:val="05D411B5"/>
    <w:rsid w:val="06A20A39"/>
    <w:rsid w:val="076646E5"/>
    <w:rsid w:val="081B3F39"/>
    <w:rsid w:val="08D12F00"/>
    <w:rsid w:val="0A174A52"/>
    <w:rsid w:val="0B3049D6"/>
    <w:rsid w:val="0B692FE1"/>
    <w:rsid w:val="0C480258"/>
    <w:rsid w:val="0C54060E"/>
    <w:rsid w:val="0CD00F0A"/>
    <w:rsid w:val="0D77064F"/>
    <w:rsid w:val="0E3746E5"/>
    <w:rsid w:val="0EBD0E70"/>
    <w:rsid w:val="0F712BB6"/>
    <w:rsid w:val="102354BF"/>
    <w:rsid w:val="117C61E3"/>
    <w:rsid w:val="11F15679"/>
    <w:rsid w:val="121A010C"/>
    <w:rsid w:val="146F22C2"/>
    <w:rsid w:val="14EE629B"/>
    <w:rsid w:val="150077C8"/>
    <w:rsid w:val="16F83C72"/>
    <w:rsid w:val="19AF4B6F"/>
    <w:rsid w:val="1CC25C22"/>
    <w:rsid w:val="1E501745"/>
    <w:rsid w:val="1F843025"/>
    <w:rsid w:val="204737CE"/>
    <w:rsid w:val="21112759"/>
    <w:rsid w:val="213F786A"/>
    <w:rsid w:val="2149411E"/>
    <w:rsid w:val="2157330E"/>
    <w:rsid w:val="257D334B"/>
    <w:rsid w:val="27A929FE"/>
    <w:rsid w:val="291B5711"/>
    <w:rsid w:val="2B5E7BC9"/>
    <w:rsid w:val="2C21126A"/>
    <w:rsid w:val="2C752F1C"/>
    <w:rsid w:val="30C94242"/>
    <w:rsid w:val="33D83D93"/>
    <w:rsid w:val="38147E3B"/>
    <w:rsid w:val="389D0C80"/>
    <w:rsid w:val="3A7118F9"/>
    <w:rsid w:val="3B857ED9"/>
    <w:rsid w:val="3B9B0C14"/>
    <w:rsid w:val="3CA44127"/>
    <w:rsid w:val="3D9B21BA"/>
    <w:rsid w:val="3E08422E"/>
    <w:rsid w:val="3EE83FF7"/>
    <w:rsid w:val="3F40671A"/>
    <w:rsid w:val="3F514C7D"/>
    <w:rsid w:val="3F7942AE"/>
    <w:rsid w:val="3FEE08F8"/>
    <w:rsid w:val="42706695"/>
    <w:rsid w:val="42FA7C7E"/>
    <w:rsid w:val="43673D14"/>
    <w:rsid w:val="43E04937"/>
    <w:rsid w:val="44173ECB"/>
    <w:rsid w:val="44421984"/>
    <w:rsid w:val="44A44BC4"/>
    <w:rsid w:val="44AD2E0D"/>
    <w:rsid w:val="461E662D"/>
    <w:rsid w:val="46C035F8"/>
    <w:rsid w:val="47095F17"/>
    <w:rsid w:val="47DC2043"/>
    <w:rsid w:val="486C0E54"/>
    <w:rsid w:val="48E103F2"/>
    <w:rsid w:val="491A588E"/>
    <w:rsid w:val="4921528B"/>
    <w:rsid w:val="495D0202"/>
    <w:rsid w:val="4A262FA2"/>
    <w:rsid w:val="4AE81C9B"/>
    <w:rsid w:val="4B4463AF"/>
    <w:rsid w:val="4D043409"/>
    <w:rsid w:val="4D7D7DB9"/>
    <w:rsid w:val="50EE68AA"/>
    <w:rsid w:val="515C196F"/>
    <w:rsid w:val="51BE544C"/>
    <w:rsid w:val="51C1001E"/>
    <w:rsid w:val="526E1E56"/>
    <w:rsid w:val="5338480E"/>
    <w:rsid w:val="562166FF"/>
    <w:rsid w:val="56E90240"/>
    <w:rsid w:val="57361F10"/>
    <w:rsid w:val="57A23368"/>
    <w:rsid w:val="57EF7F46"/>
    <w:rsid w:val="58545E47"/>
    <w:rsid w:val="58815E06"/>
    <w:rsid w:val="58D26AB1"/>
    <w:rsid w:val="59CA3C2C"/>
    <w:rsid w:val="5B527A35"/>
    <w:rsid w:val="5C5138A3"/>
    <w:rsid w:val="5D153410"/>
    <w:rsid w:val="5DF94DB3"/>
    <w:rsid w:val="5EC47139"/>
    <w:rsid w:val="62C9159E"/>
    <w:rsid w:val="62E20DE5"/>
    <w:rsid w:val="633E5F6E"/>
    <w:rsid w:val="64571665"/>
    <w:rsid w:val="659F2553"/>
    <w:rsid w:val="663A7A0A"/>
    <w:rsid w:val="66EF4E57"/>
    <w:rsid w:val="67A4342A"/>
    <w:rsid w:val="67A74D13"/>
    <w:rsid w:val="67F408FA"/>
    <w:rsid w:val="6A0C0AE6"/>
    <w:rsid w:val="6A215794"/>
    <w:rsid w:val="6AAB5A90"/>
    <w:rsid w:val="6BD04DB3"/>
    <w:rsid w:val="6C160F2C"/>
    <w:rsid w:val="6D485437"/>
    <w:rsid w:val="6E0008BA"/>
    <w:rsid w:val="6E995A95"/>
    <w:rsid w:val="6FB645DF"/>
    <w:rsid w:val="7229607F"/>
    <w:rsid w:val="72D471FB"/>
    <w:rsid w:val="73D25D6E"/>
    <w:rsid w:val="73EF78CA"/>
    <w:rsid w:val="740B40E6"/>
    <w:rsid w:val="74841862"/>
    <w:rsid w:val="75187F78"/>
    <w:rsid w:val="754E378A"/>
    <w:rsid w:val="75D7090C"/>
    <w:rsid w:val="76AC2D9E"/>
    <w:rsid w:val="77260526"/>
    <w:rsid w:val="77B72634"/>
    <w:rsid w:val="77F40DE4"/>
    <w:rsid w:val="79355EC2"/>
    <w:rsid w:val="7AF17D37"/>
    <w:rsid w:val="7AF721A5"/>
    <w:rsid w:val="7B633D4C"/>
    <w:rsid w:val="7BBC67DB"/>
    <w:rsid w:val="7C2F46FE"/>
    <w:rsid w:val="7C9A6B9D"/>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4"/>
      <w:lang w:val="en-US" w:eastAsia="zh-CN" w:bidi="ar-SA"/>
    </w:rPr>
  </w:style>
  <w:style w:type="paragraph" w:styleId="2">
    <w:name w:val="heading 1"/>
    <w:basedOn w:val="1"/>
    <w:next w:val="1"/>
    <w:link w:val="20"/>
    <w:autoRedefine/>
    <w:qFormat/>
    <w:uiPriority w:val="99"/>
    <w:pPr>
      <w:spacing w:beforeAutospacing="1" w:afterAutospacing="1"/>
      <w:jc w:val="left"/>
      <w:outlineLvl w:val="0"/>
    </w:pPr>
    <w:rPr>
      <w:rFonts w:ascii="宋体" w:hAnsi="宋体" w:eastAsia="宋体"/>
      <w:b/>
      <w:kern w:val="44"/>
      <w:sz w:val="48"/>
      <w:szCs w:val="48"/>
    </w:rPr>
  </w:style>
  <w:style w:type="paragraph" w:styleId="3">
    <w:name w:val="heading 3"/>
    <w:basedOn w:val="1"/>
    <w:next w:val="1"/>
    <w:link w:val="21"/>
    <w:qFormat/>
    <w:uiPriority w:val="99"/>
    <w:pPr>
      <w:spacing w:line="600" w:lineRule="exact"/>
      <w:ind w:firstLine="640" w:firstLineChars="200"/>
      <w:outlineLvl w:val="2"/>
    </w:pPr>
    <w:rPr>
      <w:rFonts w:ascii="黑体" w:hAnsi="黑体" w:eastAsia="黑体"/>
      <w:color w:val="000000"/>
      <w:szCs w:val="32"/>
    </w:rPr>
  </w:style>
  <w:style w:type="character" w:default="1" w:styleId="14">
    <w:name w:val="Default Paragraph Font"/>
    <w:semiHidden/>
    <w:unhideWhenUsed/>
    <w:uiPriority w:val="1"/>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caption"/>
    <w:basedOn w:val="1"/>
    <w:next w:val="1"/>
    <w:qFormat/>
    <w:uiPriority w:val="99"/>
    <w:rPr>
      <w:sz w:val="20"/>
      <w:szCs w:val="20"/>
    </w:rPr>
  </w:style>
  <w:style w:type="paragraph" w:styleId="5">
    <w:name w:val="annotation text"/>
    <w:basedOn w:val="1"/>
    <w:link w:val="31"/>
    <w:semiHidden/>
    <w:unhideWhenUsed/>
    <w:uiPriority w:val="99"/>
    <w:pPr>
      <w:jc w:val="left"/>
    </w:pPr>
  </w:style>
  <w:style w:type="paragraph" w:styleId="6">
    <w:name w:val="Body Text"/>
    <w:basedOn w:val="1"/>
    <w:qFormat/>
    <w:uiPriority w:val="1"/>
    <w:pPr>
      <w:autoSpaceDE w:val="0"/>
      <w:autoSpaceDN w:val="0"/>
      <w:spacing w:before="161"/>
      <w:ind w:left="900" w:firstLine="480"/>
      <w:jc w:val="left"/>
    </w:pPr>
    <w:rPr>
      <w:rFonts w:ascii="宋体" w:hAnsi="宋体" w:eastAsia="宋体" w:cs="宋体"/>
      <w:kern w:val="0"/>
      <w:sz w:val="24"/>
      <w:lang w:val="zh-CN" w:bidi="zh-CN"/>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unhideWhenUsed/>
    <w:qFormat/>
    <w:uiPriority w:val="99"/>
    <w:pPr>
      <w:snapToGrid w:val="0"/>
      <w:jc w:val="left"/>
    </w:pPr>
    <w:rPr>
      <w:sz w:val="18"/>
      <w:szCs w:val="18"/>
    </w:rPr>
  </w:style>
  <w:style w:type="paragraph" w:styleId="10">
    <w:name w:val="Normal (Web)"/>
    <w:basedOn w:val="1"/>
    <w:qFormat/>
    <w:uiPriority w:val="99"/>
    <w:pPr>
      <w:spacing w:beforeAutospacing="1" w:afterAutospacing="1"/>
      <w:jc w:val="left"/>
    </w:pPr>
    <w:rPr>
      <w:kern w:val="0"/>
      <w:sz w:val="24"/>
    </w:rPr>
  </w:style>
  <w:style w:type="paragraph" w:styleId="11">
    <w:name w:val="annotation subject"/>
    <w:basedOn w:val="5"/>
    <w:next w:val="5"/>
    <w:link w:val="32"/>
    <w:semiHidden/>
    <w:unhideWhenUsed/>
    <w:qFormat/>
    <w:uiPriority w:val="99"/>
    <w:rPr>
      <w:b/>
      <w:bCs/>
    </w:rPr>
  </w:style>
  <w:style w:type="table" w:styleId="13">
    <w:name w:val="Table Grid"/>
    <w:basedOn w:val="12"/>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99"/>
    <w:rPr>
      <w:rFonts w:cs="Times New Roman"/>
      <w:b/>
    </w:rPr>
  </w:style>
  <w:style w:type="character" w:styleId="16">
    <w:name w:val="page number"/>
    <w:basedOn w:val="14"/>
    <w:qFormat/>
    <w:uiPriority w:val="99"/>
    <w:rPr>
      <w:rFonts w:cs="Times New Roman"/>
    </w:rPr>
  </w:style>
  <w:style w:type="character" w:styleId="17">
    <w:name w:val="FollowedHyperlink"/>
    <w:basedOn w:val="14"/>
    <w:qFormat/>
    <w:uiPriority w:val="99"/>
    <w:rPr>
      <w:rFonts w:cs="Times New Roman"/>
      <w:color w:val="800080"/>
      <w:u w:val="none"/>
    </w:rPr>
  </w:style>
  <w:style w:type="character" w:styleId="18">
    <w:name w:val="Hyperlink"/>
    <w:basedOn w:val="14"/>
    <w:qFormat/>
    <w:uiPriority w:val="99"/>
    <w:rPr>
      <w:rFonts w:cs="Times New Roman"/>
      <w:color w:val="0000FF"/>
      <w:u w:val="none"/>
    </w:rPr>
  </w:style>
  <w:style w:type="character" w:styleId="19">
    <w:name w:val="annotation reference"/>
    <w:basedOn w:val="14"/>
    <w:semiHidden/>
    <w:unhideWhenUsed/>
    <w:qFormat/>
    <w:uiPriority w:val="99"/>
    <w:rPr>
      <w:sz w:val="21"/>
      <w:szCs w:val="21"/>
    </w:rPr>
  </w:style>
  <w:style w:type="character" w:customStyle="1" w:styleId="20">
    <w:name w:val="标题 1 字符"/>
    <w:basedOn w:val="14"/>
    <w:link w:val="2"/>
    <w:qFormat/>
    <w:locked/>
    <w:uiPriority w:val="99"/>
    <w:rPr>
      <w:rFonts w:ascii="Calibri" w:hAnsi="Calibri" w:eastAsia="方正仿宋简体" w:cs="Times New Roman"/>
      <w:b/>
      <w:bCs/>
      <w:kern w:val="44"/>
      <w:sz w:val="44"/>
      <w:szCs w:val="44"/>
    </w:rPr>
  </w:style>
  <w:style w:type="character" w:customStyle="1" w:styleId="21">
    <w:name w:val="标题 3 字符"/>
    <w:basedOn w:val="14"/>
    <w:link w:val="3"/>
    <w:qFormat/>
    <w:locked/>
    <w:uiPriority w:val="99"/>
    <w:rPr>
      <w:rFonts w:ascii="Calibri" w:hAnsi="Calibri" w:eastAsia="方正仿宋简体" w:cs="Times New Roman"/>
      <w:b/>
      <w:bCs/>
      <w:sz w:val="32"/>
      <w:szCs w:val="32"/>
    </w:rPr>
  </w:style>
  <w:style w:type="character" w:customStyle="1" w:styleId="22">
    <w:name w:val="页脚 字符"/>
    <w:basedOn w:val="14"/>
    <w:link w:val="7"/>
    <w:semiHidden/>
    <w:qFormat/>
    <w:locked/>
    <w:uiPriority w:val="99"/>
    <w:rPr>
      <w:rFonts w:ascii="Calibri" w:hAnsi="Calibri" w:eastAsia="方正仿宋简体" w:cs="Times New Roman"/>
      <w:sz w:val="18"/>
      <w:szCs w:val="18"/>
    </w:rPr>
  </w:style>
  <w:style w:type="character" w:customStyle="1" w:styleId="23">
    <w:name w:val="页眉 字符"/>
    <w:basedOn w:val="14"/>
    <w:link w:val="8"/>
    <w:autoRedefine/>
    <w:semiHidden/>
    <w:qFormat/>
    <w:locked/>
    <w:uiPriority w:val="99"/>
    <w:rPr>
      <w:rFonts w:ascii="Calibri" w:hAnsi="Calibri" w:eastAsia="方正仿宋简体" w:cs="Times New Roman"/>
      <w:sz w:val="18"/>
      <w:szCs w:val="18"/>
    </w:rPr>
  </w:style>
  <w:style w:type="character" w:customStyle="1" w:styleId="24">
    <w:name w:val="hover21"/>
    <w:basedOn w:val="14"/>
    <w:autoRedefine/>
    <w:qFormat/>
    <w:uiPriority w:val="99"/>
    <w:rPr>
      <w:rFonts w:cs="Times New Roman"/>
      <w:color w:val="557EE7"/>
    </w:rPr>
  </w:style>
  <w:style w:type="paragraph" w:customStyle="1" w:styleId="25">
    <w:name w:val="彩色列表 - 强调文字颜色 11"/>
    <w:basedOn w:val="1"/>
    <w:autoRedefine/>
    <w:qFormat/>
    <w:uiPriority w:val="99"/>
    <w:pPr>
      <w:ind w:firstLine="420" w:firstLineChars="200"/>
    </w:pPr>
    <w:rPr>
      <w:rFonts w:ascii="Cambria" w:hAnsi="Cambria"/>
      <w:szCs w:val="22"/>
    </w:rPr>
  </w:style>
  <w:style w:type="character" w:customStyle="1" w:styleId="26">
    <w:name w:val="NormalCharacter"/>
    <w:semiHidden/>
    <w:qFormat/>
    <w:uiPriority w:val="99"/>
    <w:rPr>
      <w:rFonts w:ascii="Calibri" w:hAnsi="Calibri" w:eastAsia="方正仿宋简体"/>
      <w:kern w:val="2"/>
      <w:sz w:val="24"/>
      <w:lang w:val="en-US" w:eastAsia="zh-CN"/>
    </w:rPr>
  </w:style>
  <w:style w:type="paragraph" w:customStyle="1" w:styleId="27">
    <w:name w:val="Heading3"/>
    <w:basedOn w:val="1"/>
    <w:next w:val="1"/>
    <w:autoRedefine/>
    <w:qFormat/>
    <w:uiPriority w:val="99"/>
    <w:pPr>
      <w:spacing w:line="600" w:lineRule="exact"/>
      <w:ind w:firstLine="640" w:firstLineChars="200"/>
      <w:textAlignment w:val="baseline"/>
    </w:pPr>
    <w:rPr>
      <w:rFonts w:ascii="黑体" w:hAnsi="黑体" w:eastAsia="黑体"/>
      <w:color w:val="000000"/>
      <w:szCs w:val="32"/>
    </w:rPr>
  </w:style>
  <w:style w:type="character" w:customStyle="1" w:styleId="28">
    <w:name w:val="fontstyle01"/>
    <w:autoRedefine/>
    <w:qFormat/>
    <w:uiPriority w:val="0"/>
    <w:rPr>
      <w:rFonts w:hint="eastAsia" w:ascii="宋体" w:hAnsi="宋体" w:eastAsia="宋体"/>
      <w:color w:val="000000"/>
      <w:sz w:val="22"/>
      <w:szCs w:val="22"/>
    </w:rPr>
  </w:style>
  <w:style w:type="paragraph" w:customStyle="1" w:styleId="29">
    <w:name w:val="列出段落2"/>
    <w:basedOn w:val="1"/>
    <w:qFormat/>
    <w:uiPriority w:val="34"/>
    <w:pPr>
      <w:ind w:firstLine="420" w:firstLineChars="200"/>
    </w:pPr>
  </w:style>
  <w:style w:type="paragraph" w:customStyle="1" w:styleId="30">
    <w:name w:val="列出段落1"/>
    <w:basedOn w:val="1"/>
    <w:autoRedefine/>
    <w:qFormat/>
    <w:uiPriority w:val="34"/>
    <w:pPr>
      <w:ind w:firstLine="420" w:firstLineChars="200"/>
    </w:pPr>
  </w:style>
  <w:style w:type="character" w:customStyle="1" w:styleId="31">
    <w:name w:val="批注文字 字符"/>
    <w:basedOn w:val="14"/>
    <w:link w:val="5"/>
    <w:autoRedefine/>
    <w:semiHidden/>
    <w:qFormat/>
    <w:uiPriority w:val="99"/>
    <w:rPr>
      <w:rFonts w:ascii="Calibri" w:hAnsi="Calibri" w:eastAsia="方正仿宋简体"/>
      <w:kern w:val="2"/>
      <w:sz w:val="32"/>
      <w:szCs w:val="24"/>
    </w:rPr>
  </w:style>
  <w:style w:type="character" w:customStyle="1" w:styleId="32">
    <w:name w:val="批注主题 字符"/>
    <w:basedOn w:val="31"/>
    <w:link w:val="11"/>
    <w:semiHidden/>
    <w:qFormat/>
    <w:uiPriority w:val="99"/>
    <w:rPr>
      <w:rFonts w:ascii="Calibri" w:hAnsi="Calibri" w:eastAsia="方正仿宋简体"/>
      <w:b/>
      <w:bCs/>
      <w:kern w:val="2"/>
      <w:sz w:val="32"/>
      <w:szCs w:val="24"/>
    </w:rPr>
  </w:style>
  <w:style w:type="character" w:customStyle="1" w:styleId="33">
    <w:name w:val="15"/>
    <w:basedOn w:val="14"/>
    <w:uiPriority w:val="0"/>
    <w:rPr>
      <w:rFonts w:hint="default" w:ascii="Calibri" w:hAnsi="Calibri" w:eastAsia="方正仿宋简体" w:cs="Calibri"/>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12543</Words>
  <Characters>1990</Characters>
  <Lines>1</Lines>
  <Paragraphs>1</Paragraphs>
  <TotalTime>8</TotalTime>
  <ScaleCrop>false</ScaleCrop>
  <LinksUpToDate>false</LinksUpToDate>
  <CharactersWithSpaces>14504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2024-01-12T09:40:00Z</dcterms:created>
  <dc:creator>XWB</dc:creator>
  <cp:lastModifiedBy>Joey</cp:lastModifiedBy>
  <cp:lastPrinted>2021-12-27T06:23:00Z</cp:lastPrinted>
  <dcterms:modified xsi:type="dcterms:W3CDTF">2024-01-15T06:42:41Z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2F1E6CF323AE47DAA37719CA9A2284CE</vt:lpwstr>
  </property>
</Properties>
</file>